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6D1" w:rsidRPr="008F25C2" w:rsidRDefault="000826D1" w:rsidP="0008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bookmarkStart w:id="0" w:name="_GoBack"/>
      <w:bookmarkEnd w:id="0"/>
      <w:r w:rsidRPr="008F25C2">
        <w:rPr>
          <w:rFonts w:ascii="Times New Roman" w:hAnsi="Times New Roman" w:cs="Times New Roman"/>
          <w:b/>
          <w:sz w:val="28"/>
          <w:szCs w:val="28"/>
          <w:lang w:val="sk-SK"/>
        </w:rPr>
        <w:t>PRÍLOHA IV - SADZBY PLATNÉ PRE JEDNOTKOVÉ PRÍSPEVKY</w:t>
      </w:r>
    </w:p>
    <w:p w:rsidR="0072048B" w:rsidRPr="008F25C2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u w:val="single"/>
          <w:lang w:val="sk-SK"/>
        </w:rPr>
      </w:pPr>
    </w:p>
    <w:p w:rsidR="000826D1" w:rsidRPr="008F25C2" w:rsidRDefault="000826D1" w:rsidP="000826D1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  <w:lang w:val="sk-SK"/>
        </w:rPr>
      </w:pPr>
      <w:r w:rsidRPr="008F25C2">
        <w:rPr>
          <w:rFonts w:ascii="Times New Roman" w:hAnsi="Times New Roman" w:cs="Times New Roman"/>
          <w:b/>
          <w:smallCaps/>
          <w:sz w:val="24"/>
          <w:szCs w:val="24"/>
          <w:u w:val="single"/>
          <w:lang w:val="sk-SK"/>
        </w:rPr>
        <w:t>Kľúčová akcia 1 – vzdelávacia mobilita jednotlivcov</w:t>
      </w:r>
    </w:p>
    <w:p w:rsidR="000826D1" w:rsidRPr="008F25C2" w:rsidRDefault="000826D1" w:rsidP="00082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0826D1" w:rsidRPr="008F25C2" w:rsidRDefault="000826D1" w:rsidP="00082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F25C2">
        <w:rPr>
          <w:rFonts w:ascii="Times New Roman" w:hAnsi="Times New Roman" w:cs="Times New Roman"/>
          <w:b/>
          <w:sz w:val="24"/>
          <w:szCs w:val="24"/>
          <w:lang w:val="sk-SK"/>
        </w:rPr>
        <w:t>VYSOKOŠKOLSKÉ VZDELÁVANIE (Mobilita jednotlivcov medzi krajinami programu a partnerskými krajinami)</w:t>
      </w:r>
    </w:p>
    <w:p w:rsidR="000826D1" w:rsidRPr="008F25C2" w:rsidRDefault="000826D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DE37ED" w:rsidRPr="00F52143" w:rsidRDefault="008E179D" w:rsidP="0072048B">
      <w:pPr>
        <w:spacing w:after="0" w:line="240" w:lineRule="auto"/>
        <w:rPr>
          <w:rFonts w:ascii="Times New Roman" w:hAnsi="Times New Roman" w:cs="Times New Roman"/>
          <w:lang w:val="sk-SK"/>
        </w:rPr>
      </w:pPr>
      <w:r w:rsidRPr="00F52143">
        <w:rPr>
          <w:rFonts w:ascii="Times New Roman" w:hAnsi="Times New Roman" w:cs="Times New Roman"/>
          <w:b/>
          <w:lang w:val="sk-SK"/>
        </w:rPr>
        <w:t>1.</w:t>
      </w:r>
      <w:r w:rsidR="006D1AF1" w:rsidRPr="00F52143">
        <w:rPr>
          <w:rFonts w:ascii="Times New Roman" w:hAnsi="Times New Roman" w:cs="Times New Roman"/>
          <w:b/>
          <w:lang w:val="sk-SK"/>
        </w:rPr>
        <w:t xml:space="preserve"> </w:t>
      </w:r>
      <w:r w:rsidR="00D11AE2" w:rsidRPr="00F52143">
        <w:rPr>
          <w:rFonts w:ascii="Times New Roman" w:hAnsi="Times New Roman" w:cs="Times New Roman"/>
          <w:b/>
          <w:lang w:val="sk-SK"/>
        </w:rPr>
        <w:t>Podpora na cestovné náklady</w:t>
      </w:r>
    </w:p>
    <w:p w:rsidR="00DE37ED" w:rsidRPr="008F25C2" w:rsidRDefault="00DE37ED" w:rsidP="0072048B">
      <w:pPr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</w:p>
    <w:p w:rsidR="000826D1" w:rsidRPr="008F25C2" w:rsidRDefault="000826D1" w:rsidP="0072048B">
      <w:pPr>
        <w:spacing w:after="0" w:line="240" w:lineRule="auto"/>
        <w:rPr>
          <w:rFonts w:ascii="Times New Roman" w:hAnsi="Times New Roman"/>
          <w:b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1"/>
        <w:gridCol w:w="4531"/>
      </w:tblGrid>
      <w:tr w:rsidR="00D11AE2" w:rsidRPr="008F25C2" w:rsidTr="00997EB1"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11AE2" w:rsidRPr="008F25C2" w:rsidRDefault="00D11AE2" w:rsidP="0072048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b/>
                <w:snapToGrid w:val="0"/>
                <w:kern w:val="3"/>
                <w:lang w:val="sk-SK" w:eastAsia="zh-CN"/>
              </w:rPr>
              <w:t>Vzdialenostné pásma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11AE2" w:rsidRPr="008F25C2" w:rsidRDefault="0079759E" w:rsidP="0079759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b/>
                <w:snapToGrid w:val="0"/>
                <w:kern w:val="3"/>
                <w:lang w:val="sk-SK" w:eastAsia="zh-CN"/>
              </w:rPr>
              <w:t>Suma</w:t>
            </w:r>
          </w:p>
        </w:tc>
      </w:tr>
      <w:tr w:rsidR="00312A31" w:rsidRPr="008F25C2" w:rsidTr="00997EB1">
        <w:trPr>
          <w:trHeight w:val="236"/>
        </w:trPr>
        <w:tc>
          <w:tcPr>
            <w:tcW w:w="2500" w:type="pct"/>
            <w:vAlign w:val="center"/>
          </w:tcPr>
          <w:p w:rsidR="00312A31" w:rsidRPr="008F25C2" w:rsidRDefault="00312A31" w:rsidP="007975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 xml:space="preserve">medzi 10 a 99 km: </w:t>
            </w:r>
          </w:p>
        </w:tc>
        <w:tc>
          <w:tcPr>
            <w:tcW w:w="2500" w:type="pct"/>
            <w:vAlign w:val="center"/>
          </w:tcPr>
          <w:p w:rsidR="00312A31" w:rsidRPr="008F25C2" w:rsidRDefault="00312A31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20 EUR na účastníka</w:t>
            </w:r>
          </w:p>
        </w:tc>
      </w:tr>
      <w:tr w:rsidR="00D11AE2" w:rsidRPr="008F25C2" w:rsidTr="00997EB1">
        <w:trPr>
          <w:trHeight w:val="236"/>
        </w:trPr>
        <w:tc>
          <w:tcPr>
            <w:tcW w:w="2500" w:type="pct"/>
            <w:vAlign w:val="center"/>
          </w:tcPr>
          <w:p w:rsidR="00D11AE2" w:rsidRPr="008F25C2" w:rsidRDefault="00D11AE2" w:rsidP="007975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 xml:space="preserve">medzi 100 a 499 </w:t>
            </w:r>
            <w:r w:rsidR="0079759E"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km</w:t>
            </w:r>
            <w:r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:</w:t>
            </w:r>
          </w:p>
        </w:tc>
        <w:tc>
          <w:tcPr>
            <w:tcW w:w="2500" w:type="pct"/>
            <w:vAlign w:val="center"/>
          </w:tcPr>
          <w:p w:rsidR="00D11AE2" w:rsidRPr="008F25C2" w:rsidRDefault="00D11AE2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180 EUR na účastníka</w:t>
            </w:r>
          </w:p>
        </w:tc>
      </w:tr>
      <w:tr w:rsidR="00D11AE2" w:rsidRPr="008F25C2" w:rsidTr="00997EB1">
        <w:trPr>
          <w:trHeight w:val="268"/>
        </w:trPr>
        <w:tc>
          <w:tcPr>
            <w:tcW w:w="2500" w:type="pct"/>
            <w:vAlign w:val="center"/>
          </w:tcPr>
          <w:p w:rsidR="00D11AE2" w:rsidRPr="008F25C2" w:rsidRDefault="00D11AE2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medzi</w:t>
            </w:r>
            <w:r w:rsidR="0079759E"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 xml:space="preserve"> 500 a 1999 km</w:t>
            </w:r>
            <w:r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:</w:t>
            </w:r>
          </w:p>
        </w:tc>
        <w:tc>
          <w:tcPr>
            <w:tcW w:w="2500" w:type="pct"/>
            <w:vAlign w:val="center"/>
          </w:tcPr>
          <w:p w:rsidR="00D11AE2" w:rsidRPr="008F25C2" w:rsidRDefault="00D11AE2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275 EUR na účastníka</w:t>
            </w:r>
          </w:p>
        </w:tc>
      </w:tr>
      <w:tr w:rsidR="00D11AE2" w:rsidRPr="008F25C2" w:rsidTr="00997EB1">
        <w:trPr>
          <w:trHeight w:val="272"/>
        </w:trPr>
        <w:tc>
          <w:tcPr>
            <w:tcW w:w="2500" w:type="pct"/>
            <w:vAlign w:val="center"/>
          </w:tcPr>
          <w:p w:rsidR="00D11AE2" w:rsidRPr="008F25C2" w:rsidRDefault="00D11AE2" w:rsidP="007975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 xml:space="preserve">medzi 2000 a 2999 </w:t>
            </w:r>
            <w:r w:rsidR="0079759E"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km</w:t>
            </w:r>
            <w:r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:</w:t>
            </w:r>
          </w:p>
        </w:tc>
        <w:tc>
          <w:tcPr>
            <w:tcW w:w="2500" w:type="pct"/>
            <w:vAlign w:val="center"/>
          </w:tcPr>
          <w:p w:rsidR="00D11AE2" w:rsidRPr="008F25C2" w:rsidRDefault="00D11AE2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360 EUR na účastníka</w:t>
            </w:r>
          </w:p>
        </w:tc>
      </w:tr>
      <w:tr w:rsidR="00D11AE2" w:rsidRPr="008F25C2" w:rsidTr="00997EB1">
        <w:trPr>
          <w:trHeight w:val="262"/>
        </w:trPr>
        <w:tc>
          <w:tcPr>
            <w:tcW w:w="2500" w:type="pct"/>
            <w:vAlign w:val="center"/>
          </w:tcPr>
          <w:p w:rsidR="00D11AE2" w:rsidRPr="008F25C2" w:rsidRDefault="00D11AE2" w:rsidP="007975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 xml:space="preserve">medzi 3000 a 3999 </w:t>
            </w:r>
            <w:r w:rsidR="0079759E"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km</w:t>
            </w:r>
            <w:r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:</w:t>
            </w:r>
          </w:p>
        </w:tc>
        <w:tc>
          <w:tcPr>
            <w:tcW w:w="2500" w:type="pct"/>
            <w:vAlign w:val="center"/>
          </w:tcPr>
          <w:p w:rsidR="00D11AE2" w:rsidRPr="008F25C2" w:rsidRDefault="00D11AE2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530 EUR na účastníka</w:t>
            </w:r>
          </w:p>
        </w:tc>
      </w:tr>
      <w:tr w:rsidR="00D11AE2" w:rsidRPr="008F25C2" w:rsidTr="00997EB1">
        <w:trPr>
          <w:trHeight w:val="280"/>
        </w:trPr>
        <w:tc>
          <w:tcPr>
            <w:tcW w:w="2500" w:type="pct"/>
            <w:vAlign w:val="center"/>
          </w:tcPr>
          <w:p w:rsidR="00D11AE2" w:rsidRPr="008F25C2" w:rsidRDefault="00D11AE2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medzi</w:t>
            </w:r>
            <w:r w:rsidR="0079759E"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 xml:space="preserve"> 4000 a 7999 km</w:t>
            </w:r>
            <w:r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:</w:t>
            </w:r>
          </w:p>
        </w:tc>
        <w:tc>
          <w:tcPr>
            <w:tcW w:w="2500" w:type="pct"/>
            <w:vAlign w:val="center"/>
          </w:tcPr>
          <w:p w:rsidR="00D11AE2" w:rsidRPr="008F25C2" w:rsidRDefault="00D11AE2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820 EUR na účastníka</w:t>
            </w:r>
          </w:p>
        </w:tc>
      </w:tr>
      <w:tr w:rsidR="00D11AE2" w:rsidRPr="008F25C2" w:rsidTr="00997EB1">
        <w:trPr>
          <w:trHeight w:val="270"/>
        </w:trPr>
        <w:tc>
          <w:tcPr>
            <w:tcW w:w="2500" w:type="pct"/>
            <w:vAlign w:val="center"/>
          </w:tcPr>
          <w:p w:rsidR="00D11AE2" w:rsidRPr="008F25C2" w:rsidRDefault="00D11AE2" w:rsidP="00246F0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 xml:space="preserve">8000 </w:t>
            </w:r>
            <w:r w:rsidR="00246F09"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km</w:t>
            </w:r>
            <w:r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 xml:space="preserve"> alebo viac:</w:t>
            </w:r>
          </w:p>
        </w:tc>
        <w:tc>
          <w:tcPr>
            <w:tcW w:w="2500" w:type="pct"/>
            <w:vAlign w:val="center"/>
          </w:tcPr>
          <w:p w:rsidR="00D11AE2" w:rsidRPr="008F25C2" w:rsidRDefault="00D11AE2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1</w:t>
            </w:r>
            <w:r w:rsidR="00312A31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5</w:t>
            </w:r>
            <w:r w:rsidRPr="008F25C2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00 EUR na účastníka</w:t>
            </w:r>
          </w:p>
        </w:tc>
      </w:tr>
    </w:tbl>
    <w:p w:rsidR="009723B4" w:rsidRPr="008F25C2" w:rsidRDefault="009723B4" w:rsidP="0072048B">
      <w:pPr>
        <w:spacing w:after="0" w:line="240" w:lineRule="auto"/>
        <w:rPr>
          <w:rFonts w:ascii="Times New Roman" w:hAnsi="Times New Roman"/>
          <w:lang w:val="sk-SK"/>
        </w:rPr>
      </w:pPr>
    </w:p>
    <w:p w:rsidR="009723B4" w:rsidRPr="008F25C2" w:rsidRDefault="00D11AE2" w:rsidP="0072048B">
      <w:pPr>
        <w:spacing w:after="0" w:line="240" w:lineRule="auto"/>
        <w:ind w:left="1134" w:hanging="1134"/>
        <w:rPr>
          <w:rFonts w:ascii="Times New Roman" w:hAnsi="Times New Roman"/>
          <w:lang w:val="sk-SK"/>
        </w:rPr>
      </w:pPr>
      <w:r w:rsidRPr="008F25C2">
        <w:rPr>
          <w:rFonts w:ascii="Times New Roman" w:hAnsi="Times New Roman"/>
          <w:lang w:val="sk-SK"/>
        </w:rPr>
        <w:t xml:space="preserve">Poznámka: </w:t>
      </w:r>
      <w:r w:rsidR="00246F09" w:rsidRPr="008F25C2">
        <w:rPr>
          <w:rFonts w:ascii="Times New Roman" w:hAnsi="Times New Roman"/>
          <w:lang w:val="sk-SK"/>
        </w:rPr>
        <w:t>„</w:t>
      </w:r>
      <w:r w:rsidRPr="008F25C2">
        <w:rPr>
          <w:rFonts w:ascii="Times New Roman" w:hAnsi="Times New Roman"/>
          <w:lang w:val="sk-SK"/>
        </w:rPr>
        <w:t>vzdialenostné pásmo“ predstavuje vzdialenosť medzi miestom pôvodu a miestom konania, kedy „</w:t>
      </w:r>
      <w:r w:rsidR="0079759E" w:rsidRPr="008F25C2">
        <w:rPr>
          <w:rFonts w:ascii="Times New Roman" w:hAnsi="Times New Roman"/>
          <w:lang w:val="sk-SK"/>
        </w:rPr>
        <w:t>suma</w:t>
      </w:r>
      <w:r w:rsidRPr="008F25C2">
        <w:rPr>
          <w:rFonts w:ascii="Times New Roman" w:hAnsi="Times New Roman"/>
          <w:lang w:val="sk-SK"/>
        </w:rPr>
        <w:t>“ zahŕňa príspevok na obe cesty, na a z miesta konania.</w:t>
      </w:r>
      <w:r w:rsidRPr="008F25C2">
        <w:rPr>
          <w:lang w:val="sk-SK"/>
        </w:rPr>
        <w:t xml:space="preserve"> </w:t>
      </w:r>
      <w:r w:rsidR="009723B4" w:rsidRPr="008F25C2">
        <w:rPr>
          <w:rFonts w:ascii="Times New Roman" w:hAnsi="Times New Roman"/>
          <w:lang w:val="sk-SK"/>
        </w:rPr>
        <w:t xml:space="preserve"> </w:t>
      </w:r>
    </w:p>
    <w:p w:rsidR="009723B4" w:rsidRPr="008F25C2" w:rsidRDefault="009723B4" w:rsidP="0072048B">
      <w:pPr>
        <w:spacing w:after="0" w:line="240" w:lineRule="auto"/>
        <w:rPr>
          <w:rFonts w:ascii="Times New Roman" w:hAnsi="Times New Roman" w:cs="Times New Roman"/>
          <w:b/>
          <w:lang w:val="sk-SK"/>
        </w:rPr>
      </w:pPr>
    </w:p>
    <w:p w:rsidR="008E179D" w:rsidRPr="008F25C2" w:rsidRDefault="008E179D" w:rsidP="0072048B">
      <w:pPr>
        <w:spacing w:after="0" w:line="240" w:lineRule="auto"/>
        <w:rPr>
          <w:rFonts w:ascii="Times New Roman" w:hAnsi="Times New Roman" w:cs="Times New Roman"/>
          <w:lang w:val="sk-SK"/>
        </w:rPr>
      </w:pPr>
      <w:r w:rsidRPr="008F25C2">
        <w:rPr>
          <w:rFonts w:ascii="Times New Roman" w:hAnsi="Times New Roman" w:cs="Times New Roman"/>
          <w:b/>
          <w:lang w:val="sk-SK"/>
        </w:rPr>
        <w:t xml:space="preserve">2. </w:t>
      </w:r>
      <w:r w:rsidR="00D11AE2" w:rsidRPr="008F25C2">
        <w:rPr>
          <w:rFonts w:ascii="Times New Roman" w:hAnsi="Times New Roman" w:cs="Times New Roman"/>
          <w:b/>
          <w:lang w:val="sk-SK"/>
        </w:rPr>
        <w:t>Individuálna podpora</w:t>
      </w:r>
      <w:r w:rsidR="00D11AE2" w:rsidRPr="008F25C2">
        <w:rPr>
          <w:rFonts w:ascii="Times New Roman" w:hAnsi="Times New Roman" w:cs="Times New Roman"/>
          <w:lang w:val="sk-SK"/>
        </w:rPr>
        <w:t xml:space="preserve">  </w:t>
      </w:r>
    </w:p>
    <w:p w:rsidR="006D1AF1" w:rsidRPr="008F25C2" w:rsidRDefault="006D1AF1" w:rsidP="0072048B">
      <w:pPr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</w:p>
    <w:p w:rsidR="008E179D" w:rsidRPr="008F25C2" w:rsidRDefault="00D11AE2" w:rsidP="0072048B">
      <w:pPr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8F25C2">
        <w:rPr>
          <w:rFonts w:ascii="Times New Roman" w:hAnsi="Times New Roman" w:cs="Times New Roman"/>
          <w:u w:val="single"/>
          <w:lang w:val="sk-SK"/>
        </w:rPr>
        <w:t xml:space="preserve">Mobility zamestnancov </w:t>
      </w:r>
      <w:r w:rsidR="00FE15B9" w:rsidRPr="008F25C2">
        <w:rPr>
          <w:rFonts w:ascii="Times New Roman" w:hAnsi="Times New Roman" w:cs="Times New Roman"/>
          <w:u w:val="single"/>
          <w:lang w:val="sk-SK"/>
        </w:rPr>
        <w:t xml:space="preserve"> </w:t>
      </w:r>
      <w:r w:rsidRPr="008F25C2">
        <w:rPr>
          <w:rFonts w:ascii="Times New Roman" w:hAnsi="Times New Roman" w:cs="Times New Roman"/>
          <w:u w:val="single"/>
          <w:lang w:val="sk-SK"/>
        </w:rPr>
        <w:t xml:space="preserve">z partnerských krajín </w:t>
      </w:r>
    </w:p>
    <w:p w:rsidR="006D1AF1" w:rsidRPr="008F25C2" w:rsidRDefault="006D1AF1" w:rsidP="0072048B">
      <w:pPr>
        <w:spacing w:after="0" w:line="240" w:lineRule="auto"/>
        <w:rPr>
          <w:rFonts w:ascii="Times New Roman" w:hAnsi="Times New Roman"/>
          <w:b/>
          <w:lang w:val="sk-SK"/>
        </w:rPr>
      </w:pPr>
    </w:p>
    <w:tbl>
      <w:tblPr>
        <w:tblW w:w="4790" w:type="pct"/>
        <w:tblLook w:val="0000" w:firstRow="0" w:lastRow="0" w:firstColumn="0" w:lastColumn="0" w:noHBand="0" w:noVBand="0"/>
      </w:tblPr>
      <w:tblGrid>
        <w:gridCol w:w="4254"/>
        <w:gridCol w:w="4425"/>
      </w:tblGrid>
      <w:tr w:rsidR="005576C7" w:rsidRPr="008F25C2" w:rsidTr="0079759E">
        <w:trPr>
          <w:cantSplit/>
          <w:trHeight w:val="367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6C7" w:rsidRPr="008F25C2" w:rsidRDefault="005576C7" w:rsidP="007975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lang w:val="sk-SK" w:eastAsia="zh-CN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5576C7" w:rsidRPr="008F25C2" w:rsidRDefault="001D5547" w:rsidP="007975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b/>
                <w:bCs/>
                <w:kern w:val="3"/>
                <w:lang w:val="sk-SK" w:eastAsia="zh-CN"/>
              </w:rPr>
              <w:t>Zamestnanci</w:t>
            </w:r>
            <w:r w:rsidR="00D11AE2" w:rsidRPr="008F25C2">
              <w:rPr>
                <w:rFonts w:ascii="Times New Roman" w:eastAsia="SimSun" w:hAnsi="Times New Roman"/>
                <w:b/>
                <w:bCs/>
                <w:kern w:val="3"/>
                <w:lang w:val="sk-SK" w:eastAsia="zh-CN"/>
              </w:rPr>
              <w:t xml:space="preserve"> z partnerských krajín</w:t>
            </w:r>
          </w:p>
        </w:tc>
      </w:tr>
      <w:tr w:rsidR="005576C7" w:rsidRPr="008F25C2" w:rsidTr="0079759E">
        <w:trPr>
          <w:cantSplit/>
          <w:trHeight w:val="428"/>
        </w:trPr>
        <w:tc>
          <w:tcPr>
            <w:tcW w:w="2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59E" w:rsidRPr="008F25C2" w:rsidRDefault="0079759E" w:rsidP="007975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>Prijímajúca krajina</w:t>
            </w:r>
          </w:p>
          <w:p w:rsidR="0079759E" w:rsidRPr="008F25C2" w:rsidRDefault="0079759E" w:rsidP="007975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lang w:val="sk-SK" w:eastAsia="zh-CN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5576C7" w:rsidRPr="008F25C2" w:rsidRDefault="00246F09" w:rsidP="007975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>Suma</w:t>
            </w:r>
            <w:r w:rsidR="00D11AE2" w:rsidRPr="008F25C2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 xml:space="preserve"> na deň v </w:t>
            </w:r>
            <w:r w:rsidR="005576C7" w:rsidRPr="008F25C2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>EUR</w:t>
            </w:r>
          </w:p>
        </w:tc>
      </w:tr>
      <w:tr w:rsidR="005576C7" w:rsidRPr="008F25C2" w:rsidTr="0079759E">
        <w:trPr>
          <w:trHeight w:val="732"/>
        </w:trPr>
        <w:tc>
          <w:tcPr>
            <w:tcW w:w="24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5576C7" w:rsidRPr="008F25C2" w:rsidRDefault="00312A31" w:rsidP="00312A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lang w:val="sk-SK" w:eastAsia="zh-CN"/>
              </w:rPr>
            </w:pPr>
            <w:r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 xml:space="preserve">Nórsko, </w:t>
            </w:r>
            <w:r w:rsidR="00D11AE2" w:rsidRPr="008F25C2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 xml:space="preserve">Dánsko, </w:t>
            </w:r>
            <w:r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 xml:space="preserve">Luxembursko, </w:t>
            </w:r>
            <w:r w:rsidRPr="008F25C2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>Spojené kráľovstvo</w:t>
            </w:r>
            <w:r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 xml:space="preserve">, Island, </w:t>
            </w:r>
            <w:r w:rsidRPr="008F25C2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 xml:space="preserve">Švédsko, </w:t>
            </w:r>
            <w:r w:rsidR="00D11AE2" w:rsidRPr="008F25C2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 xml:space="preserve">Írsko, </w:t>
            </w:r>
            <w:r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>Fínsko, Lichtenštajnsko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6C7" w:rsidRPr="008F25C2" w:rsidRDefault="005576C7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kern w:val="3"/>
                <w:lang w:val="sk-SK" w:eastAsia="zh-CN"/>
              </w:rPr>
              <w:t>1</w:t>
            </w:r>
            <w:r w:rsidR="002C1B65">
              <w:rPr>
                <w:rFonts w:ascii="Times New Roman" w:eastAsia="SimSun" w:hAnsi="Times New Roman"/>
                <w:kern w:val="3"/>
                <w:lang w:val="sk-SK" w:eastAsia="zh-CN"/>
              </w:rPr>
              <w:t>8</w:t>
            </w:r>
            <w:r w:rsidRPr="008F25C2">
              <w:rPr>
                <w:rFonts w:ascii="Times New Roman" w:eastAsia="SimSun" w:hAnsi="Times New Roman"/>
                <w:kern w:val="3"/>
                <w:lang w:val="sk-SK" w:eastAsia="zh-CN"/>
              </w:rPr>
              <w:t>0</w:t>
            </w:r>
          </w:p>
        </w:tc>
      </w:tr>
      <w:tr w:rsidR="005576C7" w:rsidRPr="008F25C2" w:rsidTr="00454ADC">
        <w:trPr>
          <w:trHeight w:val="1249"/>
        </w:trPr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5576C7" w:rsidRPr="008F25C2" w:rsidRDefault="00312A31" w:rsidP="002F46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lang w:val="sk-SK" w:eastAsia="zh-CN"/>
              </w:rPr>
            </w:pPr>
            <w:r>
              <w:rPr>
                <w:rFonts w:ascii="Times New Roman" w:eastAsia="SimSun" w:hAnsi="Times New Roman"/>
                <w:b/>
                <w:bCs/>
                <w:kern w:val="3"/>
                <w:lang w:val="sk-SK" w:eastAsia="zh-CN"/>
              </w:rPr>
              <w:t xml:space="preserve">Holandsko, </w:t>
            </w:r>
            <w:r w:rsidR="00D11AE2" w:rsidRPr="008F25C2">
              <w:rPr>
                <w:rFonts w:ascii="Times New Roman" w:eastAsia="SimSun" w:hAnsi="Times New Roman"/>
                <w:b/>
                <w:bCs/>
                <w:kern w:val="3"/>
                <w:lang w:val="sk-SK" w:eastAsia="zh-CN"/>
              </w:rPr>
              <w:t xml:space="preserve">Rakúsko, Belgicko, </w:t>
            </w:r>
            <w:r w:rsidRPr="008F25C2">
              <w:rPr>
                <w:rFonts w:ascii="Times New Roman" w:eastAsia="SimSun" w:hAnsi="Times New Roman"/>
                <w:b/>
                <w:bCs/>
                <w:kern w:val="3"/>
                <w:lang w:val="sk-SK" w:eastAsia="zh-CN"/>
              </w:rPr>
              <w:t xml:space="preserve">Francúzsko, </w:t>
            </w:r>
            <w:r>
              <w:rPr>
                <w:rFonts w:ascii="Times New Roman" w:eastAsia="SimSun" w:hAnsi="Times New Roman"/>
                <w:b/>
                <w:bCs/>
                <w:kern w:val="3"/>
                <w:lang w:val="sk-SK" w:eastAsia="zh-CN"/>
              </w:rPr>
              <w:t xml:space="preserve">Nemecko, </w:t>
            </w:r>
            <w:r w:rsidR="002F4669" w:rsidRPr="008F25C2">
              <w:rPr>
                <w:rFonts w:ascii="Times New Roman" w:eastAsia="SimSun" w:hAnsi="Times New Roman"/>
                <w:b/>
                <w:bCs/>
                <w:kern w:val="3"/>
                <w:lang w:val="sk-SK" w:eastAsia="zh-CN"/>
              </w:rPr>
              <w:t>Taliansko,</w:t>
            </w:r>
            <w:r w:rsidR="002F4669">
              <w:rPr>
                <w:rFonts w:ascii="Times New Roman" w:eastAsia="SimSun" w:hAnsi="Times New Roman"/>
                <w:b/>
                <w:bCs/>
                <w:kern w:val="3"/>
                <w:lang w:val="sk-SK" w:eastAsia="zh-CN"/>
              </w:rPr>
              <w:t xml:space="preserve"> </w:t>
            </w:r>
            <w:r w:rsidR="002F4669" w:rsidRPr="008F25C2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>Španielsko</w:t>
            </w:r>
            <w:r w:rsidR="002F4669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>,</w:t>
            </w:r>
            <w:r w:rsidR="002F4669" w:rsidRPr="008F25C2">
              <w:rPr>
                <w:rFonts w:ascii="Times New Roman" w:eastAsia="SimSun" w:hAnsi="Times New Roman"/>
                <w:b/>
                <w:bCs/>
                <w:kern w:val="3"/>
                <w:lang w:val="sk-SK" w:eastAsia="zh-CN"/>
              </w:rPr>
              <w:t xml:space="preserve"> </w:t>
            </w:r>
            <w:r w:rsidR="00D11AE2" w:rsidRPr="008F25C2">
              <w:rPr>
                <w:rFonts w:ascii="Times New Roman" w:eastAsia="SimSun" w:hAnsi="Times New Roman"/>
                <w:b/>
                <w:bCs/>
                <w:kern w:val="3"/>
                <w:lang w:val="sk-SK" w:eastAsia="zh-CN"/>
              </w:rPr>
              <w:t xml:space="preserve">Cyprus,  Grécko, </w:t>
            </w:r>
            <w:r w:rsidR="002F4669">
              <w:rPr>
                <w:rFonts w:ascii="Times New Roman" w:eastAsia="SimSun" w:hAnsi="Times New Roman"/>
                <w:b/>
                <w:bCs/>
                <w:kern w:val="3"/>
                <w:lang w:val="sk-SK" w:eastAsia="zh-CN"/>
              </w:rPr>
              <w:t>Malta, Portugalsko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6C7" w:rsidRPr="008F25C2" w:rsidRDefault="005576C7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kern w:val="3"/>
                <w:lang w:val="sk-SK" w:eastAsia="zh-CN"/>
              </w:rPr>
              <w:t>1</w:t>
            </w:r>
            <w:r w:rsidR="002C1B65">
              <w:rPr>
                <w:rFonts w:ascii="Times New Roman" w:eastAsia="SimSun" w:hAnsi="Times New Roman"/>
                <w:kern w:val="3"/>
                <w:lang w:val="sk-SK" w:eastAsia="zh-CN"/>
              </w:rPr>
              <w:t>6</w:t>
            </w:r>
            <w:r w:rsidRPr="008F25C2">
              <w:rPr>
                <w:rFonts w:ascii="Times New Roman" w:eastAsia="SimSun" w:hAnsi="Times New Roman"/>
                <w:kern w:val="3"/>
                <w:lang w:val="sk-SK" w:eastAsia="zh-CN"/>
              </w:rPr>
              <w:t>0</w:t>
            </w:r>
          </w:p>
        </w:tc>
      </w:tr>
      <w:tr w:rsidR="005576C7" w:rsidRPr="008F25C2" w:rsidTr="0079759E">
        <w:trPr>
          <w:trHeight w:val="974"/>
        </w:trPr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5576C7" w:rsidRPr="008F25C2" w:rsidRDefault="002F4669" w:rsidP="002F46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lang w:val="sk-SK" w:eastAsia="zh-CN"/>
              </w:rPr>
            </w:pPr>
            <w:r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 xml:space="preserve">Slovinsko, Estónsko, Lotyšsko, Chorvátsko, Slovensko, Česká republika, Litva, Turecko, Maďarsko, Poľsko, Rumunsko, Bulharsko, </w:t>
            </w:r>
            <w:r w:rsidR="004211F1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 xml:space="preserve">Severné </w:t>
            </w:r>
            <w:r w:rsidR="00D11AE2" w:rsidRPr="008F25C2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 xml:space="preserve"> Macedónsko</w:t>
            </w:r>
            <w:r w:rsidR="004211F1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>, Srbsko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6C7" w:rsidRPr="008F25C2" w:rsidRDefault="005576C7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kern w:val="3"/>
                <w:lang w:val="sk-SK" w:eastAsia="zh-CN"/>
              </w:rPr>
              <w:t>1</w:t>
            </w:r>
            <w:r w:rsidR="002C1B65">
              <w:rPr>
                <w:rFonts w:ascii="Times New Roman" w:eastAsia="SimSun" w:hAnsi="Times New Roman"/>
                <w:kern w:val="3"/>
                <w:lang w:val="sk-SK" w:eastAsia="zh-CN"/>
              </w:rPr>
              <w:t>4</w:t>
            </w:r>
            <w:r w:rsidRPr="008F25C2">
              <w:rPr>
                <w:rFonts w:ascii="Times New Roman" w:eastAsia="SimSun" w:hAnsi="Times New Roman"/>
                <w:kern w:val="3"/>
                <w:lang w:val="sk-SK" w:eastAsia="zh-CN"/>
              </w:rPr>
              <w:t>0</w:t>
            </w:r>
          </w:p>
        </w:tc>
      </w:tr>
    </w:tbl>
    <w:p w:rsidR="004D6D52" w:rsidRPr="008F25C2" w:rsidRDefault="004D6D52" w:rsidP="005576C7">
      <w:pPr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</w:p>
    <w:p w:rsidR="002C1B65" w:rsidRPr="008F25C2" w:rsidRDefault="002C1B65" w:rsidP="002C1B65">
      <w:pPr>
        <w:spacing w:after="0" w:line="240" w:lineRule="auto"/>
        <w:rPr>
          <w:rFonts w:ascii="Times New Roman" w:hAnsi="Times New Roman"/>
          <w:b/>
          <w:lang w:val="sk-SK"/>
        </w:rPr>
      </w:pPr>
      <w:r w:rsidRPr="008F25C2">
        <w:rPr>
          <w:rFonts w:ascii="Times New Roman" w:hAnsi="Times New Roman"/>
          <w:b/>
          <w:lang w:val="sk-SK"/>
        </w:rPr>
        <w:t xml:space="preserve">Poznámka: suma na deň sa vypočíta nasledujúcim spôsobom: </w:t>
      </w:r>
    </w:p>
    <w:p w:rsidR="002C1B65" w:rsidRPr="008F25C2" w:rsidRDefault="002C1B65" w:rsidP="002C1B65">
      <w:pPr>
        <w:spacing w:after="0" w:line="240" w:lineRule="auto"/>
        <w:rPr>
          <w:rFonts w:ascii="Times New Roman" w:eastAsia="SimSun" w:hAnsi="Times New Roman"/>
          <w:snapToGrid w:val="0"/>
          <w:kern w:val="3"/>
          <w:lang w:val="sk-SK" w:eastAsia="zh-CN"/>
        </w:rPr>
      </w:pPr>
      <w:r w:rsidRPr="008F25C2">
        <w:rPr>
          <w:rFonts w:ascii="Times New Roman" w:eastAsia="SimSun" w:hAnsi="Times New Roman"/>
          <w:snapToGrid w:val="0"/>
          <w:kern w:val="3"/>
          <w:lang w:val="sk-SK" w:eastAsia="zh-CN"/>
        </w:rPr>
        <w:t xml:space="preserve">do 14.dňa aktivity: suma na deň na účastníka, ako je uvedené v tabuľke vyššie </w:t>
      </w:r>
    </w:p>
    <w:p w:rsidR="002C1B65" w:rsidRPr="008F25C2" w:rsidRDefault="002C1B65" w:rsidP="002C1B65">
      <w:pPr>
        <w:spacing w:after="0" w:line="240" w:lineRule="auto"/>
        <w:rPr>
          <w:rFonts w:ascii="Times New Roman" w:eastAsia="SimSun" w:hAnsi="Times New Roman"/>
          <w:snapToGrid w:val="0"/>
          <w:kern w:val="3"/>
          <w:lang w:val="sk-SK" w:eastAsia="zh-CN"/>
        </w:rPr>
      </w:pPr>
      <w:r w:rsidRPr="008F25C2">
        <w:rPr>
          <w:rFonts w:ascii="Times New Roman" w:eastAsia="SimSun" w:hAnsi="Times New Roman"/>
          <w:snapToGrid w:val="0"/>
          <w:kern w:val="3"/>
          <w:lang w:val="sk-SK" w:eastAsia="zh-CN"/>
        </w:rPr>
        <w:t xml:space="preserve">+ </w:t>
      </w:r>
    </w:p>
    <w:p w:rsidR="005576C7" w:rsidRDefault="002C1B65" w:rsidP="002C1B65">
      <w:pPr>
        <w:spacing w:after="0" w:line="240" w:lineRule="auto"/>
        <w:rPr>
          <w:rFonts w:ascii="Times New Roman" w:eastAsia="SimSun" w:hAnsi="Times New Roman"/>
          <w:snapToGrid w:val="0"/>
          <w:kern w:val="3"/>
          <w:lang w:val="sk-SK" w:eastAsia="zh-CN"/>
        </w:rPr>
      </w:pPr>
      <w:r w:rsidRPr="008F25C2">
        <w:rPr>
          <w:rFonts w:ascii="Times New Roman" w:eastAsia="SimSun" w:hAnsi="Times New Roman"/>
          <w:snapToGrid w:val="0"/>
          <w:kern w:val="3"/>
          <w:lang w:val="sk-SK" w:eastAsia="zh-CN"/>
        </w:rPr>
        <w:t>od 15. do 60. dňa aktivity: 70% zo sumy na deň na účastníka, ako je uvedené v tabuľke vyššie.</w:t>
      </w:r>
    </w:p>
    <w:p w:rsidR="002C1B65" w:rsidRPr="008F25C2" w:rsidRDefault="002C1B65" w:rsidP="002C1B65">
      <w:pPr>
        <w:spacing w:after="0" w:line="240" w:lineRule="auto"/>
        <w:rPr>
          <w:rFonts w:ascii="Times New Roman" w:hAnsi="Times New Roman"/>
          <w:b/>
          <w:lang w:val="sk-SK"/>
        </w:rPr>
      </w:pPr>
    </w:p>
    <w:p w:rsidR="002660B4" w:rsidRDefault="002660B4" w:rsidP="00184B8E">
      <w:pPr>
        <w:spacing w:after="0" w:line="240" w:lineRule="auto"/>
        <w:rPr>
          <w:rFonts w:ascii="Times New Roman" w:hAnsi="Times New Roman"/>
          <w:u w:val="single"/>
          <w:lang w:val="sk-SK"/>
        </w:rPr>
      </w:pPr>
    </w:p>
    <w:p w:rsidR="002660B4" w:rsidRDefault="002660B4" w:rsidP="00184B8E">
      <w:pPr>
        <w:spacing w:after="0" w:line="240" w:lineRule="auto"/>
        <w:rPr>
          <w:rFonts w:ascii="Times New Roman" w:hAnsi="Times New Roman"/>
          <w:u w:val="single"/>
          <w:lang w:val="sk-SK"/>
        </w:rPr>
      </w:pPr>
    </w:p>
    <w:p w:rsidR="002660B4" w:rsidRDefault="002660B4" w:rsidP="00184B8E">
      <w:pPr>
        <w:spacing w:after="0" w:line="240" w:lineRule="auto"/>
        <w:rPr>
          <w:rFonts w:ascii="Times New Roman" w:hAnsi="Times New Roman"/>
          <w:u w:val="single"/>
          <w:lang w:val="sk-SK"/>
        </w:rPr>
      </w:pPr>
    </w:p>
    <w:p w:rsidR="002660B4" w:rsidRDefault="002660B4" w:rsidP="00184B8E">
      <w:pPr>
        <w:spacing w:after="0" w:line="240" w:lineRule="auto"/>
        <w:rPr>
          <w:rFonts w:ascii="Times New Roman" w:hAnsi="Times New Roman"/>
          <w:u w:val="single"/>
          <w:lang w:val="sk-SK"/>
        </w:rPr>
      </w:pPr>
    </w:p>
    <w:p w:rsidR="00184B8E" w:rsidRPr="008F25C2" w:rsidRDefault="00184B8E" w:rsidP="00184B8E">
      <w:pPr>
        <w:spacing w:after="0" w:line="240" w:lineRule="auto"/>
        <w:rPr>
          <w:rFonts w:ascii="Times New Roman" w:hAnsi="Times New Roman"/>
          <w:u w:val="single"/>
          <w:lang w:val="sk-SK"/>
        </w:rPr>
      </w:pPr>
      <w:r w:rsidRPr="008F25C2">
        <w:rPr>
          <w:rFonts w:ascii="Times New Roman" w:hAnsi="Times New Roman"/>
          <w:u w:val="single"/>
          <w:lang w:val="sk-SK"/>
        </w:rPr>
        <w:lastRenderedPageBreak/>
        <w:t>Mobility zamestnancov do partnerských krajín</w:t>
      </w:r>
    </w:p>
    <w:p w:rsidR="00246F09" w:rsidRPr="008F25C2" w:rsidRDefault="00246F09" w:rsidP="00184B8E">
      <w:pPr>
        <w:spacing w:after="0" w:line="240" w:lineRule="auto"/>
        <w:rPr>
          <w:rFonts w:ascii="Times New Roman" w:hAnsi="Times New Roman"/>
          <w:b/>
          <w:lang w:val="sk-SK"/>
        </w:rPr>
      </w:pPr>
    </w:p>
    <w:tbl>
      <w:tblPr>
        <w:tblW w:w="4790" w:type="pct"/>
        <w:tblLook w:val="0000" w:firstRow="0" w:lastRow="0" w:firstColumn="0" w:lastColumn="0" w:noHBand="0" w:noVBand="0"/>
      </w:tblPr>
      <w:tblGrid>
        <w:gridCol w:w="4253"/>
        <w:gridCol w:w="4423"/>
      </w:tblGrid>
      <w:tr w:rsidR="00184B8E" w:rsidRPr="008F25C2" w:rsidTr="00246F09">
        <w:trPr>
          <w:trHeight w:val="1113"/>
        </w:trPr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84B8E" w:rsidRPr="008F25C2" w:rsidRDefault="00184B8E" w:rsidP="00246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>Denná sadzba v EUR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B8E" w:rsidRPr="008F25C2" w:rsidRDefault="00184B8E" w:rsidP="008F25C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lang w:val="sk-SK" w:eastAsia="zh-CN"/>
              </w:rPr>
            </w:pPr>
            <w:r w:rsidRPr="008F25C2">
              <w:rPr>
                <w:rFonts w:ascii="Times New Roman" w:eastAsia="SimSun" w:hAnsi="Times New Roman"/>
                <w:kern w:val="3"/>
                <w:lang w:val="sk-SK" w:eastAsia="zh-CN"/>
              </w:rPr>
              <w:t>1</w:t>
            </w:r>
            <w:r w:rsidR="002C1B65">
              <w:rPr>
                <w:rFonts w:ascii="Times New Roman" w:eastAsia="SimSun" w:hAnsi="Times New Roman"/>
                <w:kern w:val="3"/>
                <w:lang w:val="sk-SK" w:eastAsia="zh-CN"/>
              </w:rPr>
              <w:t>8</w:t>
            </w:r>
            <w:r w:rsidRPr="008F25C2">
              <w:rPr>
                <w:rFonts w:ascii="Times New Roman" w:eastAsia="SimSun" w:hAnsi="Times New Roman"/>
                <w:kern w:val="3"/>
                <w:lang w:val="sk-SK" w:eastAsia="zh-CN"/>
              </w:rPr>
              <w:t>0</w:t>
            </w:r>
          </w:p>
        </w:tc>
      </w:tr>
    </w:tbl>
    <w:p w:rsidR="002660B4" w:rsidRPr="008F25C2" w:rsidRDefault="002660B4" w:rsidP="002660B4">
      <w:pPr>
        <w:spacing w:after="0" w:line="240" w:lineRule="auto"/>
        <w:rPr>
          <w:rFonts w:ascii="Times New Roman" w:hAnsi="Times New Roman"/>
          <w:b/>
          <w:lang w:val="sk-SK"/>
        </w:rPr>
      </w:pPr>
      <w:r w:rsidRPr="008F25C2">
        <w:rPr>
          <w:rFonts w:ascii="Times New Roman" w:hAnsi="Times New Roman"/>
          <w:b/>
          <w:lang w:val="sk-SK"/>
        </w:rPr>
        <w:t xml:space="preserve">Poznámka: suma na deň sa vypočíta nasledujúcim spôsobom: </w:t>
      </w:r>
    </w:p>
    <w:p w:rsidR="002660B4" w:rsidRPr="008F25C2" w:rsidRDefault="002660B4" w:rsidP="002660B4">
      <w:pPr>
        <w:spacing w:after="0" w:line="240" w:lineRule="auto"/>
        <w:rPr>
          <w:rFonts w:ascii="Times New Roman" w:eastAsia="SimSun" w:hAnsi="Times New Roman"/>
          <w:snapToGrid w:val="0"/>
          <w:kern w:val="3"/>
          <w:lang w:val="sk-SK" w:eastAsia="zh-CN"/>
        </w:rPr>
      </w:pPr>
      <w:r w:rsidRPr="008F25C2">
        <w:rPr>
          <w:rFonts w:ascii="Times New Roman" w:eastAsia="SimSun" w:hAnsi="Times New Roman"/>
          <w:snapToGrid w:val="0"/>
          <w:kern w:val="3"/>
          <w:lang w:val="sk-SK" w:eastAsia="zh-CN"/>
        </w:rPr>
        <w:t xml:space="preserve">do 14.dňa aktivity: suma na deň na účastníka, ako je uvedené v tabuľke vyššie </w:t>
      </w:r>
    </w:p>
    <w:p w:rsidR="002660B4" w:rsidRPr="008F25C2" w:rsidRDefault="002660B4" w:rsidP="002660B4">
      <w:pPr>
        <w:spacing w:after="0" w:line="240" w:lineRule="auto"/>
        <w:rPr>
          <w:rFonts w:ascii="Times New Roman" w:eastAsia="SimSun" w:hAnsi="Times New Roman"/>
          <w:snapToGrid w:val="0"/>
          <w:kern w:val="3"/>
          <w:lang w:val="sk-SK" w:eastAsia="zh-CN"/>
        </w:rPr>
      </w:pPr>
      <w:r w:rsidRPr="008F25C2">
        <w:rPr>
          <w:rFonts w:ascii="Times New Roman" w:eastAsia="SimSun" w:hAnsi="Times New Roman"/>
          <w:snapToGrid w:val="0"/>
          <w:kern w:val="3"/>
          <w:lang w:val="sk-SK" w:eastAsia="zh-CN"/>
        </w:rPr>
        <w:t xml:space="preserve">+ </w:t>
      </w:r>
    </w:p>
    <w:p w:rsidR="002660B4" w:rsidRPr="008F25C2" w:rsidRDefault="002660B4" w:rsidP="002660B4">
      <w:pPr>
        <w:spacing w:after="0" w:line="240" w:lineRule="auto"/>
        <w:rPr>
          <w:rFonts w:ascii="Times New Roman" w:hAnsi="Times New Roman"/>
          <w:b/>
          <w:lang w:val="sk-SK"/>
        </w:rPr>
      </w:pPr>
      <w:r w:rsidRPr="008F25C2">
        <w:rPr>
          <w:rFonts w:ascii="Times New Roman" w:eastAsia="SimSun" w:hAnsi="Times New Roman"/>
          <w:snapToGrid w:val="0"/>
          <w:kern w:val="3"/>
          <w:lang w:val="sk-SK" w:eastAsia="zh-CN"/>
        </w:rPr>
        <w:t>od 15. do 60. dňa aktivity: 70% zo sumy na deň na účastníka, ako je uvedené v tabuľke vyššie.</w:t>
      </w:r>
      <w:r w:rsidRPr="008F25C2" w:rsidDel="00173F7A">
        <w:rPr>
          <w:rFonts w:ascii="Times New Roman" w:hAnsi="Times New Roman"/>
          <w:b/>
          <w:lang w:val="sk-SK"/>
        </w:rPr>
        <w:t xml:space="preserve"> </w:t>
      </w:r>
    </w:p>
    <w:p w:rsidR="002660B4" w:rsidRPr="008F25C2" w:rsidRDefault="002660B4" w:rsidP="002660B4">
      <w:pPr>
        <w:spacing w:after="0" w:line="240" w:lineRule="auto"/>
        <w:rPr>
          <w:rFonts w:ascii="Times New Roman" w:hAnsi="Times New Roman" w:cs="Times New Roman"/>
          <w:b/>
          <w:u w:val="single"/>
          <w:lang w:val="sk-SK"/>
        </w:rPr>
      </w:pPr>
    </w:p>
    <w:p w:rsidR="002660B4" w:rsidRPr="008F25C2" w:rsidRDefault="002660B4" w:rsidP="002660B4">
      <w:pPr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</w:p>
    <w:p w:rsidR="00F678FB" w:rsidRPr="008F25C2" w:rsidRDefault="00F678FB" w:rsidP="0072048B">
      <w:pPr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</w:p>
    <w:p w:rsidR="00F678FB" w:rsidRPr="008F25C2" w:rsidRDefault="00F678FB" w:rsidP="0072048B">
      <w:pPr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</w:p>
    <w:p w:rsidR="0072048B" w:rsidRPr="008F25C2" w:rsidRDefault="001D5547" w:rsidP="0072048B">
      <w:pPr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8F25C2">
        <w:rPr>
          <w:rFonts w:ascii="Times New Roman" w:hAnsi="Times New Roman" w:cs="Times New Roman"/>
          <w:u w:val="single"/>
          <w:lang w:val="sk-SK"/>
        </w:rPr>
        <w:t>Mobilita študentov do a z partnerských krajín</w:t>
      </w:r>
    </w:p>
    <w:p w:rsidR="00F678FB" w:rsidRPr="008F25C2" w:rsidRDefault="00F678FB" w:rsidP="0072048B">
      <w:pPr>
        <w:spacing w:after="0" w:line="240" w:lineRule="auto"/>
        <w:rPr>
          <w:rFonts w:ascii="Times New Roman" w:hAnsi="Times New Roman"/>
          <w:b/>
          <w:u w:val="single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3498"/>
        <w:gridCol w:w="2969"/>
      </w:tblGrid>
      <w:tr w:rsidR="006D1AF1" w:rsidRPr="008F25C2" w:rsidTr="00F678FB">
        <w:tc>
          <w:tcPr>
            <w:tcW w:w="1432" w:type="pct"/>
            <w:shd w:val="clear" w:color="auto" w:fill="BFBFBF" w:themeFill="background1" w:themeFillShade="BF"/>
            <w:vAlign w:val="center"/>
          </w:tcPr>
          <w:p w:rsidR="006D1AF1" w:rsidRPr="008F25C2" w:rsidRDefault="001D5547" w:rsidP="001D5547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</w:pPr>
            <w:r w:rsidRPr="008F25C2"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  <w:t>Z</w:t>
            </w:r>
          </w:p>
        </w:tc>
        <w:tc>
          <w:tcPr>
            <w:tcW w:w="1930" w:type="pct"/>
            <w:shd w:val="clear" w:color="auto" w:fill="BFBFBF" w:themeFill="background1" w:themeFillShade="BF"/>
            <w:vAlign w:val="center"/>
          </w:tcPr>
          <w:p w:rsidR="006D1AF1" w:rsidRPr="008F25C2" w:rsidRDefault="001D5547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</w:pPr>
            <w:r w:rsidRPr="008F25C2"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  <w:t>Do</w:t>
            </w:r>
          </w:p>
        </w:tc>
        <w:tc>
          <w:tcPr>
            <w:tcW w:w="1638" w:type="pct"/>
            <w:shd w:val="clear" w:color="auto" w:fill="BFBFBF" w:themeFill="background1" w:themeFillShade="BF"/>
            <w:vAlign w:val="center"/>
          </w:tcPr>
          <w:p w:rsidR="006D1AF1" w:rsidRPr="008F25C2" w:rsidRDefault="001D5547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</w:pPr>
            <w:r w:rsidRPr="008F25C2"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  <w:t>Suma</w:t>
            </w:r>
          </w:p>
        </w:tc>
      </w:tr>
      <w:tr w:rsidR="006D1AF1" w:rsidRPr="008F25C2" w:rsidTr="00F52143">
        <w:trPr>
          <w:trHeight w:val="284"/>
        </w:trPr>
        <w:tc>
          <w:tcPr>
            <w:tcW w:w="1432" w:type="pct"/>
            <w:vMerge w:val="restart"/>
            <w:shd w:val="clear" w:color="auto" w:fill="FFFFFF"/>
            <w:vAlign w:val="center"/>
          </w:tcPr>
          <w:p w:rsidR="006D1AF1" w:rsidRPr="008F25C2" w:rsidRDefault="001D5547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sk-SK" w:eastAsia="zh-CN"/>
              </w:rPr>
            </w:pPr>
            <w:r w:rsidRPr="008F25C2">
              <w:rPr>
                <w:rFonts w:ascii="Times New Roman" w:eastAsia="Times New Roman" w:hAnsi="Times New Roman"/>
                <w:kern w:val="3"/>
                <w:lang w:val="sk-SK" w:eastAsia="zh-CN"/>
              </w:rPr>
              <w:t>Oprávnené partnerské krajiny</w:t>
            </w:r>
          </w:p>
        </w:tc>
        <w:tc>
          <w:tcPr>
            <w:tcW w:w="1930" w:type="pct"/>
            <w:shd w:val="clear" w:color="auto" w:fill="BFBFBF" w:themeFill="background1" w:themeFillShade="BF"/>
            <w:vAlign w:val="center"/>
          </w:tcPr>
          <w:p w:rsidR="006D1AF1" w:rsidRPr="00F52143" w:rsidRDefault="00FE15B9" w:rsidP="001D5547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</w:pPr>
            <w:r w:rsidRPr="00F52143"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  <w:t>Krajiny programu – skupina 1</w:t>
            </w:r>
          </w:p>
          <w:p w:rsidR="00F52143" w:rsidRPr="00F52143" w:rsidRDefault="00F52143" w:rsidP="001D5547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</w:pPr>
          </w:p>
          <w:p w:rsidR="00F52143" w:rsidRPr="00F52143" w:rsidRDefault="002C1B65" w:rsidP="001D5547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</w:pPr>
            <w:r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 xml:space="preserve">Nórsko, </w:t>
            </w:r>
            <w:r w:rsidRPr="008F25C2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 xml:space="preserve">Dánsko, </w:t>
            </w:r>
            <w:r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 xml:space="preserve">Luxembursko, </w:t>
            </w:r>
            <w:r w:rsidRPr="008F25C2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>Spojené kráľovstvo</w:t>
            </w:r>
            <w:r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 xml:space="preserve">, Island, </w:t>
            </w:r>
            <w:r w:rsidRPr="008F25C2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 xml:space="preserve">Švédsko, Írsko, </w:t>
            </w:r>
            <w:r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>Fínsko, Lichtenštajnsko</w:t>
            </w:r>
            <w:r w:rsidRPr="00F52143" w:rsidDel="002C1B65">
              <w:rPr>
                <w:rFonts w:ascii="Times New Roman" w:eastAsia="Times New Roman" w:hAnsi="Times New Roman" w:cs="Times New Roman"/>
                <w:b/>
                <w:snapToGrid w:val="0"/>
                <w:kern w:val="3"/>
                <w:lang w:val="sk-SK" w:eastAsia="zh-CN"/>
              </w:rPr>
              <w:t xml:space="preserve"> </w:t>
            </w:r>
          </w:p>
        </w:tc>
        <w:tc>
          <w:tcPr>
            <w:tcW w:w="1638" w:type="pct"/>
            <w:shd w:val="clear" w:color="auto" w:fill="FFFFFF"/>
            <w:vAlign w:val="center"/>
          </w:tcPr>
          <w:p w:rsidR="006D1AF1" w:rsidRPr="008F25C2" w:rsidRDefault="002C1B65" w:rsidP="001D5547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sk-SK" w:eastAsia="zh-CN"/>
              </w:rPr>
            </w:pPr>
            <w:r>
              <w:rPr>
                <w:rFonts w:ascii="Times New Roman" w:eastAsia="Times New Roman" w:hAnsi="Times New Roman"/>
                <w:kern w:val="3"/>
                <w:lang w:val="sk-SK" w:eastAsia="zh-CN"/>
              </w:rPr>
              <w:t>90</w:t>
            </w:r>
            <w:r w:rsidR="006D1AF1" w:rsidRPr="008F25C2">
              <w:rPr>
                <w:rFonts w:ascii="Times New Roman" w:eastAsia="Times New Roman" w:hAnsi="Times New Roman"/>
                <w:kern w:val="3"/>
                <w:lang w:val="sk-SK" w:eastAsia="zh-CN"/>
              </w:rPr>
              <w:t xml:space="preserve">0 EUR </w:t>
            </w:r>
            <w:r w:rsidR="001D5547" w:rsidRPr="008F25C2">
              <w:rPr>
                <w:rFonts w:ascii="Times New Roman" w:eastAsia="Times New Roman" w:hAnsi="Times New Roman"/>
                <w:kern w:val="3"/>
                <w:lang w:val="sk-SK" w:eastAsia="zh-CN"/>
              </w:rPr>
              <w:t>mesačne</w:t>
            </w:r>
          </w:p>
        </w:tc>
      </w:tr>
      <w:tr w:rsidR="006D1AF1" w:rsidRPr="008F25C2" w:rsidTr="00F52143">
        <w:trPr>
          <w:trHeight w:val="288"/>
        </w:trPr>
        <w:tc>
          <w:tcPr>
            <w:tcW w:w="1432" w:type="pct"/>
            <w:vMerge/>
            <w:shd w:val="clear" w:color="auto" w:fill="FFFFFF"/>
            <w:vAlign w:val="center"/>
          </w:tcPr>
          <w:p w:rsidR="006D1AF1" w:rsidRPr="008F25C2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sk-SK" w:eastAsia="zh-CN"/>
              </w:rPr>
            </w:pPr>
          </w:p>
        </w:tc>
        <w:tc>
          <w:tcPr>
            <w:tcW w:w="1930" w:type="pct"/>
            <w:shd w:val="clear" w:color="auto" w:fill="BFBFBF" w:themeFill="background1" w:themeFillShade="BF"/>
            <w:vAlign w:val="center"/>
          </w:tcPr>
          <w:p w:rsidR="006D1AF1" w:rsidRPr="00F52143" w:rsidRDefault="00FE15B9" w:rsidP="001D5547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</w:pPr>
            <w:r w:rsidRPr="00F52143"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  <w:t xml:space="preserve">Krajiny programu – skupina </w:t>
            </w:r>
            <w:r w:rsidR="001D5547" w:rsidRPr="00F52143"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  <w:t>2</w:t>
            </w:r>
          </w:p>
          <w:p w:rsidR="00F52143" w:rsidRPr="00F52143" w:rsidRDefault="00F52143" w:rsidP="001D5547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</w:pPr>
          </w:p>
          <w:p w:rsidR="00F52143" w:rsidRPr="00F52143" w:rsidRDefault="002C1B65" w:rsidP="001D5547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</w:pPr>
            <w:r>
              <w:rPr>
                <w:rFonts w:ascii="Times New Roman" w:eastAsia="SimSun" w:hAnsi="Times New Roman"/>
                <w:b/>
                <w:bCs/>
                <w:kern w:val="3"/>
                <w:lang w:val="sk-SK" w:eastAsia="zh-CN"/>
              </w:rPr>
              <w:t xml:space="preserve">Holandsko, </w:t>
            </w:r>
            <w:r w:rsidRPr="008F25C2">
              <w:rPr>
                <w:rFonts w:ascii="Times New Roman" w:eastAsia="SimSun" w:hAnsi="Times New Roman"/>
                <w:b/>
                <w:bCs/>
                <w:kern w:val="3"/>
                <w:lang w:val="sk-SK" w:eastAsia="zh-CN"/>
              </w:rPr>
              <w:t xml:space="preserve">Rakúsko, Belgicko, Francúzsko, </w:t>
            </w:r>
            <w:r>
              <w:rPr>
                <w:rFonts w:ascii="Times New Roman" w:eastAsia="SimSun" w:hAnsi="Times New Roman"/>
                <w:b/>
                <w:bCs/>
                <w:kern w:val="3"/>
                <w:lang w:val="sk-SK" w:eastAsia="zh-CN"/>
              </w:rPr>
              <w:t xml:space="preserve">Nemecko, </w:t>
            </w:r>
            <w:r w:rsidRPr="008F25C2">
              <w:rPr>
                <w:rFonts w:ascii="Times New Roman" w:eastAsia="SimSun" w:hAnsi="Times New Roman"/>
                <w:b/>
                <w:bCs/>
                <w:kern w:val="3"/>
                <w:lang w:val="sk-SK" w:eastAsia="zh-CN"/>
              </w:rPr>
              <w:t>Taliansko,</w:t>
            </w:r>
            <w:r>
              <w:rPr>
                <w:rFonts w:ascii="Times New Roman" w:eastAsia="SimSun" w:hAnsi="Times New Roman"/>
                <w:b/>
                <w:bCs/>
                <w:kern w:val="3"/>
                <w:lang w:val="sk-SK" w:eastAsia="zh-CN"/>
              </w:rPr>
              <w:t xml:space="preserve"> </w:t>
            </w:r>
            <w:r w:rsidRPr="008F25C2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>Španielsko</w:t>
            </w:r>
            <w:r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>,</w:t>
            </w:r>
            <w:r w:rsidRPr="008F25C2">
              <w:rPr>
                <w:rFonts w:ascii="Times New Roman" w:eastAsia="SimSun" w:hAnsi="Times New Roman"/>
                <w:b/>
                <w:bCs/>
                <w:kern w:val="3"/>
                <w:lang w:val="sk-SK" w:eastAsia="zh-CN"/>
              </w:rPr>
              <w:t xml:space="preserve"> Cyprus,  Grécko, </w:t>
            </w:r>
            <w:r>
              <w:rPr>
                <w:rFonts w:ascii="Times New Roman" w:eastAsia="SimSun" w:hAnsi="Times New Roman"/>
                <w:b/>
                <w:bCs/>
                <w:kern w:val="3"/>
                <w:lang w:val="sk-SK" w:eastAsia="zh-CN"/>
              </w:rPr>
              <w:t>Malta, Portugalsko</w:t>
            </w:r>
          </w:p>
        </w:tc>
        <w:tc>
          <w:tcPr>
            <w:tcW w:w="1638" w:type="pct"/>
            <w:shd w:val="clear" w:color="auto" w:fill="FFFFFF"/>
            <w:vAlign w:val="center"/>
          </w:tcPr>
          <w:p w:rsidR="006D1AF1" w:rsidRPr="008F25C2" w:rsidRDefault="002C1B65" w:rsidP="001D5547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sk-SK" w:eastAsia="zh-CN"/>
              </w:rPr>
            </w:pPr>
            <w:r>
              <w:rPr>
                <w:rFonts w:ascii="Times New Roman" w:eastAsia="Times New Roman" w:hAnsi="Times New Roman"/>
                <w:kern w:val="3"/>
                <w:lang w:val="sk-SK" w:eastAsia="zh-CN"/>
              </w:rPr>
              <w:t>85</w:t>
            </w:r>
            <w:r w:rsidR="006D1AF1" w:rsidRPr="008F25C2">
              <w:rPr>
                <w:rFonts w:ascii="Times New Roman" w:eastAsia="Times New Roman" w:hAnsi="Times New Roman"/>
                <w:kern w:val="3"/>
                <w:lang w:val="sk-SK" w:eastAsia="zh-CN"/>
              </w:rPr>
              <w:t xml:space="preserve">0 EUR </w:t>
            </w:r>
            <w:r w:rsidR="001D5547" w:rsidRPr="008F25C2">
              <w:rPr>
                <w:rFonts w:ascii="Times New Roman" w:eastAsia="Times New Roman" w:hAnsi="Times New Roman"/>
                <w:kern w:val="3"/>
                <w:lang w:val="sk-SK" w:eastAsia="zh-CN"/>
              </w:rPr>
              <w:t>mesačne</w:t>
            </w:r>
          </w:p>
        </w:tc>
      </w:tr>
      <w:tr w:rsidR="006D1AF1" w:rsidRPr="008F25C2" w:rsidTr="00F52143">
        <w:trPr>
          <w:trHeight w:val="278"/>
        </w:trPr>
        <w:tc>
          <w:tcPr>
            <w:tcW w:w="1432" w:type="pct"/>
            <w:vMerge/>
            <w:shd w:val="clear" w:color="auto" w:fill="FFFFFF"/>
            <w:vAlign w:val="center"/>
          </w:tcPr>
          <w:p w:rsidR="006D1AF1" w:rsidRPr="008F25C2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sk-SK" w:eastAsia="zh-CN"/>
              </w:rPr>
            </w:pPr>
          </w:p>
        </w:tc>
        <w:tc>
          <w:tcPr>
            <w:tcW w:w="1930" w:type="pct"/>
            <w:shd w:val="clear" w:color="auto" w:fill="BFBFBF" w:themeFill="background1" w:themeFillShade="BF"/>
            <w:vAlign w:val="center"/>
          </w:tcPr>
          <w:p w:rsidR="006D1AF1" w:rsidRPr="00F52143" w:rsidRDefault="00FE15B9" w:rsidP="001D5547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</w:pPr>
            <w:r w:rsidRPr="00F52143"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  <w:t xml:space="preserve">Krajiny programu – skupina </w:t>
            </w:r>
            <w:r w:rsidR="001D5547" w:rsidRPr="00F52143"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  <w:t>3</w:t>
            </w:r>
          </w:p>
          <w:p w:rsidR="00F52143" w:rsidRPr="00F52143" w:rsidRDefault="00F52143" w:rsidP="001D5547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</w:pPr>
          </w:p>
          <w:p w:rsidR="00F52143" w:rsidRPr="00F52143" w:rsidRDefault="002C1B65" w:rsidP="001D5547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</w:pPr>
            <w:r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 xml:space="preserve">Slovinsko, Estónsko, Lotyšsko, Chorvátsko, Slovensko, Česká republika, Litva, Turecko, Maďarsko, Poľsko, Rumunsko, Bulharsko, </w:t>
            </w:r>
            <w:r w:rsidR="004211F1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>Severné</w:t>
            </w:r>
            <w:r w:rsidRPr="008F25C2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 xml:space="preserve"> Macedónsko</w:t>
            </w:r>
            <w:r w:rsidR="004211F1">
              <w:rPr>
                <w:rFonts w:ascii="Times New Roman" w:eastAsia="SimSun" w:hAnsi="Times New Roman"/>
                <w:b/>
                <w:kern w:val="3"/>
                <w:lang w:val="sk-SK" w:eastAsia="zh-CN"/>
              </w:rPr>
              <w:t>, Srbsko</w:t>
            </w:r>
          </w:p>
        </w:tc>
        <w:tc>
          <w:tcPr>
            <w:tcW w:w="1638" w:type="pct"/>
            <w:shd w:val="clear" w:color="auto" w:fill="FFFFFF"/>
            <w:vAlign w:val="center"/>
          </w:tcPr>
          <w:p w:rsidR="006D1AF1" w:rsidRPr="008F25C2" w:rsidRDefault="002C1B65" w:rsidP="001D5547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sk-SK" w:eastAsia="zh-CN"/>
              </w:rPr>
            </w:pPr>
            <w:r>
              <w:rPr>
                <w:rFonts w:ascii="Times New Roman" w:eastAsia="Times New Roman" w:hAnsi="Times New Roman"/>
                <w:kern w:val="3"/>
                <w:lang w:val="sk-SK" w:eastAsia="zh-CN"/>
              </w:rPr>
              <w:t>800</w:t>
            </w:r>
            <w:r w:rsidR="006D1AF1" w:rsidRPr="008F25C2">
              <w:rPr>
                <w:rFonts w:ascii="Times New Roman" w:eastAsia="Times New Roman" w:hAnsi="Times New Roman"/>
                <w:kern w:val="3"/>
                <w:lang w:val="sk-SK" w:eastAsia="zh-CN"/>
              </w:rPr>
              <w:t xml:space="preserve"> EUR </w:t>
            </w:r>
            <w:r w:rsidR="001D5547" w:rsidRPr="008F25C2">
              <w:rPr>
                <w:rFonts w:ascii="Times New Roman" w:eastAsia="Times New Roman" w:hAnsi="Times New Roman"/>
                <w:kern w:val="3"/>
                <w:lang w:val="sk-SK" w:eastAsia="zh-CN"/>
              </w:rPr>
              <w:t>mesačne</w:t>
            </w:r>
          </w:p>
        </w:tc>
      </w:tr>
      <w:tr w:rsidR="006D1AF1" w:rsidRPr="008F25C2" w:rsidTr="00F52143">
        <w:trPr>
          <w:trHeight w:val="818"/>
        </w:trPr>
        <w:tc>
          <w:tcPr>
            <w:tcW w:w="1432" w:type="pct"/>
            <w:shd w:val="clear" w:color="auto" w:fill="FFFFFF"/>
            <w:vAlign w:val="center"/>
          </w:tcPr>
          <w:p w:rsidR="006D1AF1" w:rsidRPr="008F25C2" w:rsidRDefault="001D5547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sk-SK" w:eastAsia="zh-CN"/>
              </w:rPr>
            </w:pPr>
            <w:r w:rsidRPr="008F25C2">
              <w:rPr>
                <w:rFonts w:ascii="Times New Roman" w:eastAsia="Times New Roman" w:hAnsi="Times New Roman"/>
                <w:kern w:val="3"/>
                <w:lang w:val="sk-SK" w:eastAsia="zh-CN"/>
              </w:rPr>
              <w:t>Krajina programu</w:t>
            </w:r>
          </w:p>
        </w:tc>
        <w:tc>
          <w:tcPr>
            <w:tcW w:w="1930" w:type="pct"/>
            <w:shd w:val="clear" w:color="auto" w:fill="BFBFBF" w:themeFill="background1" w:themeFillShade="BF"/>
            <w:vAlign w:val="center"/>
          </w:tcPr>
          <w:p w:rsidR="006D1AF1" w:rsidRPr="00F52143" w:rsidRDefault="006D1AF1" w:rsidP="001D5547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</w:pPr>
            <w:r w:rsidRPr="00F52143"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  <w:t>Partner</w:t>
            </w:r>
            <w:r w:rsidR="001D5547" w:rsidRPr="00F52143">
              <w:rPr>
                <w:rFonts w:ascii="Times New Roman" w:eastAsia="Times New Roman" w:hAnsi="Times New Roman"/>
                <w:b/>
                <w:kern w:val="3"/>
                <w:lang w:val="sk-SK" w:eastAsia="zh-CN"/>
              </w:rPr>
              <w:t>ské krajiny</w:t>
            </w:r>
          </w:p>
        </w:tc>
        <w:tc>
          <w:tcPr>
            <w:tcW w:w="1638" w:type="pct"/>
            <w:shd w:val="clear" w:color="auto" w:fill="FFFFFF"/>
            <w:vAlign w:val="center"/>
          </w:tcPr>
          <w:p w:rsidR="006D1AF1" w:rsidRPr="008F25C2" w:rsidRDefault="002C1B65" w:rsidP="001D5547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sk-SK" w:eastAsia="zh-CN"/>
              </w:rPr>
            </w:pPr>
            <w:r>
              <w:rPr>
                <w:rFonts w:ascii="Times New Roman" w:eastAsia="Times New Roman" w:hAnsi="Times New Roman"/>
                <w:kern w:val="3"/>
                <w:lang w:val="sk-SK" w:eastAsia="zh-CN"/>
              </w:rPr>
              <w:t>70</w:t>
            </w:r>
            <w:r w:rsidR="006D1AF1" w:rsidRPr="008F25C2">
              <w:rPr>
                <w:rFonts w:ascii="Times New Roman" w:eastAsia="Times New Roman" w:hAnsi="Times New Roman"/>
                <w:kern w:val="3"/>
                <w:lang w:val="sk-SK" w:eastAsia="zh-CN"/>
              </w:rPr>
              <w:t xml:space="preserve">0 EUR </w:t>
            </w:r>
            <w:r w:rsidR="001D5547" w:rsidRPr="008F25C2">
              <w:rPr>
                <w:rFonts w:ascii="Times New Roman" w:eastAsia="Times New Roman" w:hAnsi="Times New Roman"/>
                <w:kern w:val="3"/>
                <w:lang w:val="sk-SK" w:eastAsia="zh-CN"/>
              </w:rPr>
              <w:t>mesačne</w:t>
            </w:r>
          </w:p>
        </w:tc>
      </w:tr>
    </w:tbl>
    <w:p w:rsidR="007443FC" w:rsidRPr="008F25C2" w:rsidRDefault="007443FC" w:rsidP="0072048B">
      <w:pPr>
        <w:spacing w:after="0" w:line="240" w:lineRule="auto"/>
        <w:rPr>
          <w:rFonts w:ascii="Times New Roman" w:hAnsi="Times New Roman" w:cs="Times New Roman"/>
          <w:lang w:val="sk-SK"/>
        </w:rPr>
      </w:pPr>
    </w:p>
    <w:p w:rsidR="000826D1" w:rsidRPr="008F25C2" w:rsidRDefault="000826D1" w:rsidP="00E60FA3">
      <w:pPr>
        <w:spacing w:after="0" w:line="240" w:lineRule="auto"/>
        <w:rPr>
          <w:rFonts w:ascii="Times New Roman" w:hAnsi="Times New Roman" w:cs="Times New Roman"/>
          <w:b/>
          <w:lang w:val="sk-SK"/>
        </w:rPr>
      </w:pPr>
    </w:p>
    <w:p w:rsidR="00E60FA3" w:rsidRPr="008F25C2" w:rsidRDefault="00E60FA3" w:rsidP="00E60FA3">
      <w:pPr>
        <w:spacing w:after="0" w:line="240" w:lineRule="auto"/>
        <w:rPr>
          <w:lang w:val="sk-SK"/>
        </w:rPr>
      </w:pPr>
      <w:r w:rsidRPr="008F25C2">
        <w:rPr>
          <w:rFonts w:ascii="Times New Roman" w:hAnsi="Times New Roman" w:cs="Times New Roman"/>
          <w:b/>
          <w:lang w:val="sk-SK"/>
        </w:rPr>
        <w:t>3. Podpora na organizáciu</w:t>
      </w:r>
    </w:p>
    <w:p w:rsidR="00E60FA3" w:rsidRPr="008F25C2" w:rsidRDefault="00E60FA3" w:rsidP="00E60FA3">
      <w:pPr>
        <w:spacing w:after="0" w:line="240" w:lineRule="auto"/>
        <w:rPr>
          <w:lang w:val="sk-SK"/>
        </w:rPr>
      </w:pPr>
    </w:p>
    <w:p w:rsidR="007443FC" w:rsidRPr="008F25C2" w:rsidRDefault="00E60FA3" w:rsidP="006112FC">
      <w:pPr>
        <w:spacing w:after="0" w:line="240" w:lineRule="auto"/>
        <w:rPr>
          <w:rFonts w:ascii="Times New Roman" w:hAnsi="Times New Roman" w:cs="Times New Roman"/>
          <w:b/>
          <w:lang w:val="sk-SK"/>
        </w:rPr>
      </w:pPr>
      <w:r w:rsidRPr="008F25C2">
        <w:rPr>
          <w:rFonts w:ascii="Times New Roman" w:hAnsi="Times New Roman"/>
          <w:lang w:val="sk-SK"/>
        </w:rPr>
        <w:t xml:space="preserve">350 EUR na účastníka </w:t>
      </w:r>
    </w:p>
    <w:sectPr w:rsidR="007443FC" w:rsidRPr="008F25C2" w:rsidSect="00E60F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669" w:rsidRDefault="002F4669" w:rsidP="000826D1">
      <w:pPr>
        <w:spacing w:after="0" w:line="240" w:lineRule="auto"/>
      </w:pPr>
      <w:r>
        <w:separator/>
      </w:r>
    </w:p>
  </w:endnote>
  <w:endnote w:type="continuationSeparator" w:id="0">
    <w:p w:rsidR="002F4669" w:rsidRDefault="002F4669" w:rsidP="0008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44183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F4669" w:rsidRDefault="002F4669">
        <w:pPr>
          <w:pStyle w:val="Pta"/>
          <w:jc w:val="right"/>
        </w:pPr>
        <w:r w:rsidRPr="00F678F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678FB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F678F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C1B65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F678F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2F4669" w:rsidRDefault="002F46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669" w:rsidRDefault="002F4669" w:rsidP="000826D1">
      <w:pPr>
        <w:spacing w:after="0" w:line="240" w:lineRule="auto"/>
      </w:pPr>
      <w:r>
        <w:separator/>
      </w:r>
    </w:p>
  </w:footnote>
  <w:footnote w:type="continuationSeparator" w:id="0">
    <w:p w:rsidR="002F4669" w:rsidRDefault="002F4669" w:rsidP="0008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669" w:rsidRPr="00017B30" w:rsidRDefault="002F4669" w:rsidP="000826D1">
    <w:pPr>
      <w:pStyle w:val="Hlavika"/>
      <w:rPr>
        <w:rFonts w:ascii="Times New Roman" w:hAnsi="Times New Roman" w:cs="Times New Roman"/>
        <w:sz w:val="20"/>
        <w:szCs w:val="20"/>
        <w:lang w:val="sk-SK"/>
      </w:rPr>
    </w:pPr>
    <w:r w:rsidRPr="00017B30">
      <w:rPr>
        <w:rFonts w:ascii="Times New Roman" w:hAnsi="Times New Roman" w:cs="Times New Roman"/>
        <w:sz w:val="20"/>
        <w:szCs w:val="20"/>
        <w:lang w:val="sk-SK"/>
      </w:rPr>
      <w:t xml:space="preserve">Príloha IV – Sadzby </w:t>
    </w:r>
    <w:r w:rsidRPr="00017B30">
      <w:rPr>
        <w:rFonts w:ascii="Times New Roman" w:hAnsi="Times New Roman" w:cs="Times New Roman"/>
        <w:sz w:val="20"/>
        <w:szCs w:val="20"/>
        <w:lang w:val="sk-SK"/>
      </w:rPr>
      <w:tab/>
    </w:r>
    <w:r w:rsidRPr="00017B30">
      <w:rPr>
        <w:rFonts w:ascii="Times New Roman" w:hAnsi="Times New Roman" w:cs="Times New Roman"/>
        <w:sz w:val="20"/>
        <w:szCs w:val="20"/>
        <w:lang w:val="sk-SK"/>
      </w:rPr>
      <w:tab/>
      <w:t>Verzia: 201</w:t>
    </w:r>
    <w:r w:rsidR="004211F1">
      <w:rPr>
        <w:rFonts w:ascii="Times New Roman" w:hAnsi="Times New Roman" w:cs="Times New Roman"/>
        <w:sz w:val="20"/>
        <w:szCs w:val="20"/>
        <w:lang w:val="sk-SK"/>
      </w:rPr>
      <w:t>9</w:t>
    </w:r>
  </w:p>
  <w:p w:rsidR="002F4669" w:rsidRPr="00017B30" w:rsidRDefault="002F4669" w:rsidP="000826D1">
    <w:pPr>
      <w:pStyle w:val="Hlavika"/>
      <w:rPr>
        <w:rFonts w:ascii="Times New Roman" w:hAnsi="Times New Roman" w:cs="Times New Roman"/>
        <w:sz w:val="20"/>
        <w:szCs w:val="20"/>
        <w:lang w:val="sk-SK"/>
      </w:rPr>
    </w:pPr>
    <w:r w:rsidRPr="00017B30">
      <w:rPr>
        <w:rFonts w:ascii="Times New Roman" w:hAnsi="Times New Roman" w:cs="Times New Roman"/>
        <w:sz w:val="20"/>
        <w:szCs w:val="20"/>
        <w:lang w:val="sk-SK"/>
      </w:rPr>
      <w:t>KA1</w:t>
    </w:r>
    <w:r>
      <w:rPr>
        <w:rFonts w:ascii="Times New Roman" w:hAnsi="Times New Roman" w:cs="Times New Roman"/>
        <w:sz w:val="20"/>
        <w:szCs w:val="20"/>
        <w:lang w:val="sk-SK"/>
      </w:rPr>
      <w:t>07</w:t>
    </w:r>
    <w:r w:rsidRPr="00017B30">
      <w:rPr>
        <w:rFonts w:ascii="Times New Roman" w:hAnsi="Times New Roman" w:cs="Times New Roman"/>
        <w:sz w:val="20"/>
        <w:szCs w:val="20"/>
        <w:lang w:val="sk-SK"/>
      </w:rPr>
      <w:t xml:space="preserve"> – sektor vysokoškolského vzdelávania (mobilita medzi krajinami programu</w:t>
    </w:r>
    <w:r>
      <w:rPr>
        <w:rFonts w:ascii="Times New Roman" w:hAnsi="Times New Roman" w:cs="Times New Roman"/>
        <w:sz w:val="20"/>
        <w:szCs w:val="20"/>
        <w:lang w:val="sk-SK"/>
      </w:rPr>
      <w:t xml:space="preserve"> a partnerskými krajinami</w:t>
    </w:r>
    <w:r w:rsidRPr="00017B30">
      <w:rPr>
        <w:rFonts w:ascii="Times New Roman" w:hAnsi="Times New Roman" w:cs="Times New Roman"/>
        <w:sz w:val="20"/>
        <w:szCs w:val="20"/>
        <w:lang w:val="sk-SK"/>
      </w:rPr>
      <w:t>)</w:t>
    </w:r>
  </w:p>
  <w:p w:rsidR="002F4669" w:rsidRDefault="002F4669">
    <w:pPr>
      <w:pStyle w:val="Hlavika"/>
    </w:pPr>
  </w:p>
  <w:p w:rsidR="002F4669" w:rsidRDefault="002F46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A01BC"/>
    <w:rsid w:val="000826D1"/>
    <w:rsid w:val="000D504E"/>
    <w:rsid w:val="001718AD"/>
    <w:rsid w:val="00184B8E"/>
    <w:rsid w:val="001D5547"/>
    <w:rsid w:val="00246F09"/>
    <w:rsid w:val="002660B4"/>
    <w:rsid w:val="002C1B65"/>
    <w:rsid w:val="002F4669"/>
    <w:rsid w:val="00312A31"/>
    <w:rsid w:val="003A00B1"/>
    <w:rsid w:val="003E1DF1"/>
    <w:rsid w:val="003E3FCC"/>
    <w:rsid w:val="004125E7"/>
    <w:rsid w:val="004211F1"/>
    <w:rsid w:val="00430D12"/>
    <w:rsid w:val="00454ADC"/>
    <w:rsid w:val="004C6A6D"/>
    <w:rsid w:val="004D6D52"/>
    <w:rsid w:val="005576C7"/>
    <w:rsid w:val="005718C6"/>
    <w:rsid w:val="005862A9"/>
    <w:rsid w:val="00587C0B"/>
    <w:rsid w:val="005A4578"/>
    <w:rsid w:val="005C4DEF"/>
    <w:rsid w:val="006112FC"/>
    <w:rsid w:val="006B12A3"/>
    <w:rsid w:val="006D1AF1"/>
    <w:rsid w:val="0072048B"/>
    <w:rsid w:val="00734E2B"/>
    <w:rsid w:val="007443FC"/>
    <w:rsid w:val="0079759E"/>
    <w:rsid w:val="00817939"/>
    <w:rsid w:val="00847D4B"/>
    <w:rsid w:val="00850120"/>
    <w:rsid w:val="00866095"/>
    <w:rsid w:val="008916BE"/>
    <w:rsid w:val="008E179D"/>
    <w:rsid w:val="008F25C2"/>
    <w:rsid w:val="00962628"/>
    <w:rsid w:val="00970744"/>
    <w:rsid w:val="009723B4"/>
    <w:rsid w:val="00997EB1"/>
    <w:rsid w:val="009A01BC"/>
    <w:rsid w:val="009D6416"/>
    <w:rsid w:val="009F1623"/>
    <w:rsid w:val="00A91261"/>
    <w:rsid w:val="00AD7744"/>
    <w:rsid w:val="00AE5A07"/>
    <w:rsid w:val="00B716A6"/>
    <w:rsid w:val="00BC496D"/>
    <w:rsid w:val="00BD33E4"/>
    <w:rsid w:val="00C6520F"/>
    <w:rsid w:val="00D11AE2"/>
    <w:rsid w:val="00D16EFE"/>
    <w:rsid w:val="00D60AE3"/>
    <w:rsid w:val="00DD100E"/>
    <w:rsid w:val="00DE37ED"/>
    <w:rsid w:val="00DE439A"/>
    <w:rsid w:val="00E30716"/>
    <w:rsid w:val="00E60FA3"/>
    <w:rsid w:val="00E6588D"/>
    <w:rsid w:val="00F16BDB"/>
    <w:rsid w:val="00F52143"/>
    <w:rsid w:val="00F678FB"/>
    <w:rsid w:val="00F703C1"/>
    <w:rsid w:val="00F92CDE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717AB-3D97-4C17-9D57-6C01B3D4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501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82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26D1"/>
  </w:style>
  <w:style w:type="paragraph" w:styleId="Pta">
    <w:name w:val="footer"/>
    <w:basedOn w:val="Normlny"/>
    <w:link w:val="PtaChar"/>
    <w:uiPriority w:val="99"/>
    <w:unhideWhenUsed/>
    <w:rsid w:val="00082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2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ARROYO Jose Manuel (EAC)</dc:creator>
  <cp:lastModifiedBy>Filipová Eva</cp:lastModifiedBy>
  <cp:revision>2</cp:revision>
  <cp:lastPrinted>2016-04-20T09:41:00Z</cp:lastPrinted>
  <dcterms:created xsi:type="dcterms:W3CDTF">2019-10-21T14:29:00Z</dcterms:created>
  <dcterms:modified xsi:type="dcterms:W3CDTF">2019-10-21T14:29:00Z</dcterms:modified>
</cp:coreProperties>
</file>