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F0" w:rsidRDefault="006425F0">
      <w:pPr>
        <w:rPr>
          <w:b/>
          <w:sz w:val="28"/>
          <w:szCs w:val="28"/>
        </w:rPr>
      </w:pPr>
      <w:bookmarkStart w:id="0" w:name="_GoBack"/>
      <w:bookmarkEnd w:id="0"/>
    </w:p>
    <w:p w:rsidR="00CE1842" w:rsidRDefault="009666C1">
      <w:pPr>
        <w:rPr>
          <w:b/>
          <w:sz w:val="28"/>
          <w:szCs w:val="28"/>
          <w:lang w:val="sk-SK"/>
        </w:rPr>
      </w:pPr>
      <w:r w:rsidRPr="00B61B66">
        <w:rPr>
          <w:noProof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-364490</wp:posOffset>
            </wp:positionH>
            <wp:positionV relativeFrom="margin">
              <wp:posOffset>-536575</wp:posOffset>
            </wp:positionV>
            <wp:extent cx="1833245" cy="37211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784" w:rsidRPr="00B61B66">
        <w:rPr>
          <w:b/>
          <w:sz w:val="28"/>
          <w:szCs w:val="28"/>
          <w:lang w:val="sk-SK"/>
        </w:rPr>
        <w:t>INFORMÁCIE  PRE  OUTGOING  ŠTUDENTOV   -  ŠTÚDIUM</w:t>
      </w:r>
    </w:p>
    <w:p w:rsidR="00FD6D8C" w:rsidRDefault="00FD6D8C">
      <w:pPr>
        <w:rPr>
          <w:b/>
          <w:sz w:val="28"/>
          <w:szCs w:val="28"/>
          <w:lang w:val="sk-SK"/>
        </w:rPr>
      </w:pPr>
    </w:p>
    <w:p w:rsidR="00FD6D8C" w:rsidRPr="00B61B66" w:rsidRDefault="00FD6D8C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PRE AKADEMICKÝ ROK 2019/2020</w:t>
      </w:r>
    </w:p>
    <w:p w:rsidR="006425F0" w:rsidRPr="00B61B66" w:rsidRDefault="006425F0">
      <w:pPr>
        <w:rPr>
          <w:b/>
          <w:sz w:val="28"/>
          <w:szCs w:val="28"/>
          <w:lang w:val="sk-SK"/>
        </w:rPr>
      </w:pPr>
    </w:p>
    <w:p w:rsidR="00CE1842" w:rsidRPr="00B61B66" w:rsidRDefault="00CE1842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6663"/>
      </w:tblGrid>
      <w:tr w:rsidR="00CE1842" w:rsidRPr="00B61B66" w:rsidTr="00F9530B">
        <w:trPr>
          <w:trHeight w:val="425"/>
        </w:trPr>
        <w:tc>
          <w:tcPr>
            <w:tcW w:w="2376" w:type="dxa"/>
            <w:shd w:val="clear" w:color="auto" w:fill="FFFFCC"/>
          </w:tcPr>
          <w:p w:rsidR="00CE1842" w:rsidRPr="00B61B66" w:rsidRDefault="00CE1842" w:rsidP="00FE6E99">
            <w:pPr>
              <w:ind w:right="-993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</w:p>
          <w:p w:rsidR="00CE1842" w:rsidRPr="00B61B66" w:rsidRDefault="00CE1842" w:rsidP="00FE6E99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K</w:t>
            </w:r>
            <w:r w:rsidR="00AF384C" w:rsidRPr="00B61B66">
              <w:rPr>
                <w:rFonts w:ascii="Arial Narrow" w:hAnsi="Arial Narrow"/>
                <w:sz w:val="24"/>
                <w:szCs w:val="24"/>
                <w:lang w:val="sk-SK"/>
              </w:rPr>
              <w:t>TO</w:t>
            </w:r>
          </w:p>
          <w:p w:rsidR="00CE1842" w:rsidRPr="00B61B66" w:rsidRDefault="00CE1842" w:rsidP="00FE6E99">
            <w:pPr>
              <w:ind w:right="-993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</w:p>
          <w:p w:rsidR="00CE1842" w:rsidRPr="00B61B66" w:rsidRDefault="00CE1842" w:rsidP="00FE6E99">
            <w:pPr>
              <w:ind w:right="-993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</w:p>
          <w:p w:rsidR="00CE1842" w:rsidRPr="00B61B66" w:rsidRDefault="00CE1842" w:rsidP="00FE6E99">
            <w:pPr>
              <w:ind w:right="-993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</w:p>
        </w:tc>
        <w:tc>
          <w:tcPr>
            <w:tcW w:w="6663" w:type="dxa"/>
            <w:shd w:val="clear" w:color="auto" w:fill="FFFFCC"/>
          </w:tcPr>
          <w:p w:rsidR="00C146AA" w:rsidRPr="00B61B66" w:rsidRDefault="00C146AA" w:rsidP="00C97BEB">
            <w:pPr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  <w:p w:rsidR="00AF384C" w:rsidRPr="00B61B66" w:rsidRDefault="00CE1842" w:rsidP="00C97BEB">
            <w:pPr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Študijného pobytu Erasmus + sa môže zúčastniť každý študent Trnavskej univerzity v Trnave, ktorý je zapísaný do akreditovaného bakalárskeho, magisterského alebo doktorandského študijného programu a bude počas  celého obdobia študijného pobytu v zahraničí riadne zapísaný na štúdium na T</w:t>
            </w:r>
            <w:r w:rsidR="00C97BEB" w:rsidRPr="00B61B66">
              <w:rPr>
                <w:rFonts w:ascii="Arial Narrow" w:hAnsi="Arial Narrow"/>
                <w:sz w:val="24"/>
                <w:szCs w:val="24"/>
                <w:lang w:val="sk-SK"/>
              </w:rPr>
              <w:t>rnavskej univerzite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:rsidR="00CE1842" w:rsidRPr="00B61B66" w:rsidRDefault="00CE1842" w:rsidP="00AF384C">
            <w:pPr>
              <w:spacing w:line="240" w:lineRule="auto"/>
              <w:jc w:val="both"/>
              <w:rPr>
                <w:rFonts w:ascii="Arial Narrow" w:hAnsi="Arial Narrow"/>
                <w:b/>
                <w:color w:val="002060"/>
                <w:sz w:val="24"/>
                <w:szCs w:val="24"/>
                <w:lang w:val="sk-SK"/>
              </w:rPr>
            </w:pPr>
          </w:p>
        </w:tc>
      </w:tr>
      <w:tr w:rsidR="00CE1842" w:rsidRPr="00B61B66" w:rsidTr="00F9530B">
        <w:trPr>
          <w:trHeight w:val="559"/>
        </w:trPr>
        <w:tc>
          <w:tcPr>
            <w:tcW w:w="2376" w:type="dxa"/>
            <w:shd w:val="clear" w:color="auto" w:fill="CCFFFF"/>
          </w:tcPr>
          <w:p w:rsidR="006D1BB1" w:rsidRPr="00B61B66" w:rsidRDefault="006D1BB1" w:rsidP="00FE6E99">
            <w:pPr>
              <w:ind w:right="-993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  <w:p w:rsidR="00CE1842" w:rsidRPr="00B61B66" w:rsidRDefault="005C7784" w:rsidP="00FE6E99">
            <w:pPr>
              <w:ind w:right="-993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 w:cs="Arial"/>
                <w:sz w:val="24"/>
                <w:szCs w:val="24"/>
                <w:lang w:val="sk-SK"/>
              </w:rPr>
              <w:t>KDE</w:t>
            </w:r>
          </w:p>
        </w:tc>
        <w:tc>
          <w:tcPr>
            <w:tcW w:w="6663" w:type="dxa"/>
            <w:shd w:val="clear" w:color="auto" w:fill="CCFFFF"/>
          </w:tcPr>
          <w:p w:rsidR="006D1BB1" w:rsidRPr="00B61B66" w:rsidRDefault="006D1BB1" w:rsidP="005C7784">
            <w:pPr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  <w:p w:rsidR="005C7784" w:rsidRPr="00B61B66" w:rsidRDefault="005C7784" w:rsidP="005C7784">
            <w:pPr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Študijný pobyt môžu študenti absolvovať v každej krajine zapojenej do programu Erasmus+ okrem Slovenskej  republiky a krajiny svojho trvalého pobytu</w:t>
            </w:r>
            <w:r w:rsidR="00CF55B6" w:rsidRPr="00B61B66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:rsidR="00CE1842" w:rsidRPr="00B61B66" w:rsidRDefault="005C7784" w:rsidP="006C7850">
            <w:pPr>
              <w:spacing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sk-SK"/>
              </w:rPr>
            </w:pPr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Študijný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pobyt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môže prebiehať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iba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na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partnerskej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vysokoškolskej inštitúcii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, ktorá</w:t>
            </w:r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 xml:space="preserve"> musí mať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Erasmus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Charter</w:t>
            </w:r>
            <w:proofErr w:type="spellEnd"/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for</w:t>
            </w:r>
            <w:proofErr w:type="spellEnd"/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Higher</w:t>
            </w:r>
            <w:proofErr w:type="spellEnd"/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Education</w:t>
            </w:r>
            <w:proofErr w:type="spellEnd"/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(ECHE)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, </w:t>
            </w:r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ktorý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udeľuje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Európska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 xml:space="preserve">komisia a 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s ktorou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 uzavrela </w:t>
            </w:r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Trnavská univerzita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 </w:t>
            </w:r>
            <w:proofErr w:type="spellStart"/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medziinštituciálnu</w:t>
            </w:r>
            <w:proofErr w:type="spellEnd"/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dohodu </w:t>
            </w:r>
            <w:r w:rsidRPr="00B61B66">
              <w:rPr>
                <w:rStyle w:val="hps"/>
                <w:rFonts w:ascii="Arial Narrow" w:hAnsi="Arial Narrow"/>
                <w:sz w:val="24"/>
                <w:szCs w:val="24"/>
                <w:lang w:val="sk-SK"/>
              </w:rPr>
              <w:t>Erasmus+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br/>
            </w:r>
          </w:p>
        </w:tc>
      </w:tr>
      <w:tr w:rsidR="003F777B" w:rsidRPr="00B61B66" w:rsidTr="00F9530B">
        <w:tc>
          <w:tcPr>
            <w:tcW w:w="2376" w:type="dxa"/>
            <w:shd w:val="clear" w:color="auto" w:fill="CCFFCC"/>
          </w:tcPr>
          <w:p w:rsidR="006D1BB1" w:rsidRPr="00B61B66" w:rsidRDefault="006D1BB1" w:rsidP="00703F60">
            <w:pPr>
              <w:ind w:right="-993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  <w:p w:rsidR="003F777B" w:rsidRPr="00B61B66" w:rsidRDefault="003F777B" w:rsidP="00703F60">
            <w:pPr>
              <w:ind w:right="-993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 w:cs="Arial"/>
                <w:sz w:val="24"/>
                <w:szCs w:val="24"/>
                <w:lang w:val="sk-SK"/>
              </w:rPr>
              <w:t>KEDY</w:t>
            </w:r>
          </w:p>
        </w:tc>
        <w:tc>
          <w:tcPr>
            <w:tcW w:w="6663" w:type="dxa"/>
            <w:shd w:val="clear" w:color="auto" w:fill="CCFFCC"/>
          </w:tcPr>
          <w:p w:rsidR="006D1BB1" w:rsidRPr="00B61B66" w:rsidRDefault="003F777B" w:rsidP="00703F60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</w:p>
          <w:p w:rsidR="003F777B" w:rsidRPr="00B61B66" w:rsidRDefault="003F777B" w:rsidP="00703F60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Študijný pobyt môže absolvovať každý študent od 2. ročníka Bc</w:t>
            </w:r>
            <w:r w:rsidR="006C7850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štúdia.</w:t>
            </w:r>
          </w:p>
          <w:p w:rsidR="006425F0" w:rsidRPr="00B61B66" w:rsidRDefault="006425F0" w:rsidP="00703F60">
            <w:pPr>
              <w:ind w:right="-993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sk-SK"/>
              </w:rPr>
            </w:pPr>
          </w:p>
        </w:tc>
      </w:tr>
      <w:tr w:rsidR="003F777B" w:rsidRPr="00B61B66" w:rsidTr="00AC5A4F">
        <w:tc>
          <w:tcPr>
            <w:tcW w:w="2376" w:type="dxa"/>
            <w:shd w:val="clear" w:color="auto" w:fill="E5B8B7"/>
          </w:tcPr>
          <w:p w:rsidR="006D1BB1" w:rsidRPr="00B61B66" w:rsidRDefault="006D1BB1" w:rsidP="003F777B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  <w:p w:rsidR="003F777B" w:rsidRPr="00B61B66" w:rsidRDefault="003F777B" w:rsidP="003F777B">
            <w:pPr>
              <w:ind w:right="-993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AKO DLHO:  </w:t>
            </w:r>
          </w:p>
        </w:tc>
        <w:tc>
          <w:tcPr>
            <w:tcW w:w="6663" w:type="dxa"/>
            <w:shd w:val="clear" w:color="auto" w:fill="E5B8B7"/>
          </w:tcPr>
          <w:p w:rsidR="006D1BB1" w:rsidRPr="00B61B66" w:rsidRDefault="006D1BB1" w:rsidP="00CE1842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  <w:p w:rsidR="00D54B71" w:rsidRDefault="00D54B71" w:rsidP="00CE1842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Mo</w:t>
            </w:r>
            <w:r w:rsidR="001648B5">
              <w:rPr>
                <w:rFonts w:ascii="Arial Narrow" w:hAnsi="Arial Narrow"/>
                <w:sz w:val="24"/>
                <w:szCs w:val="24"/>
                <w:lang w:val="sk-SK"/>
              </w:rPr>
              <w:t>b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ilita na štúdium v akademickom roku 20</w:t>
            </w:r>
            <w:r w:rsidR="00246DEE">
              <w:rPr>
                <w:rFonts w:ascii="Arial Narrow" w:hAnsi="Arial Narrow"/>
                <w:sz w:val="24"/>
                <w:szCs w:val="24"/>
                <w:lang w:val="sk-SK"/>
              </w:rPr>
              <w:t>20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/20</w:t>
            </w:r>
            <w:r w:rsidR="00246DEE">
              <w:rPr>
                <w:rFonts w:ascii="Arial Narrow" w:hAnsi="Arial Narrow"/>
                <w:sz w:val="24"/>
                <w:szCs w:val="24"/>
                <w:lang w:val="sk-SK"/>
              </w:rPr>
              <w:t>21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 bola stanovená  </w:t>
            </w:r>
          </w:p>
          <w:p w:rsidR="00D54B71" w:rsidRDefault="00D54B71" w:rsidP="00CE1842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maximálne </w:t>
            </w:r>
            <w:r w:rsidR="009C0F1D">
              <w:rPr>
                <w:rFonts w:ascii="Arial Narrow" w:hAnsi="Arial Narrow"/>
                <w:sz w:val="24"/>
                <w:szCs w:val="24"/>
                <w:lang w:val="sk-SK"/>
              </w:rPr>
              <w:t xml:space="preserve">na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jeden semester za každý stupeň štúdia. Za </w:t>
            </w:r>
            <w:r w:rsidR="003F777B"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minimálnu dĺžku </w:t>
            </w:r>
          </w:p>
          <w:p w:rsidR="003F777B" w:rsidRPr="00B61B66" w:rsidRDefault="003F777B" w:rsidP="006425F0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pobytu </w:t>
            </w:r>
            <w:r w:rsidR="00D54B71">
              <w:rPr>
                <w:rFonts w:ascii="Arial Narrow" w:hAnsi="Arial Narrow"/>
                <w:sz w:val="24"/>
                <w:szCs w:val="24"/>
                <w:lang w:val="sk-SK"/>
              </w:rPr>
              <w:t>s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a považuje 90 dní</w:t>
            </w:r>
            <w:r w:rsidR="00D54B71">
              <w:rPr>
                <w:rFonts w:ascii="Arial Narrow" w:hAnsi="Arial Narrow"/>
                <w:sz w:val="24"/>
                <w:szCs w:val="24"/>
                <w:lang w:val="sk-SK"/>
              </w:rPr>
              <w:t xml:space="preserve">. </w:t>
            </w:r>
          </w:p>
          <w:p w:rsidR="006425F0" w:rsidRPr="00B61B66" w:rsidRDefault="006425F0" w:rsidP="006425F0">
            <w:pPr>
              <w:ind w:right="-993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sk-SK"/>
              </w:rPr>
            </w:pPr>
          </w:p>
        </w:tc>
      </w:tr>
      <w:tr w:rsidR="003F777B" w:rsidRPr="00B61B66" w:rsidTr="00AC5A4F">
        <w:tc>
          <w:tcPr>
            <w:tcW w:w="2376" w:type="dxa"/>
            <w:shd w:val="clear" w:color="auto" w:fill="C6D9F1"/>
          </w:tcPr>
          <w:p w:rsidR="003F777B" w:rsidRPr="00B61B66" w:rsidRDefault="00AF384C" w:rsidP="00AF384C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AKO  ČASTO</w:t>
            </w:r>
          </w:p>
        </w:tc>
        <w:tc>
          <w:tcPr>
            <w:tcW w:w="6663" w:type="dxa"/>
            <w:shd w:val="clear" w:color="auto" w:fill="C6D9F1"/>
          </w:tcPr>
          <w:p w:rsidR="00AF384C" w:rsidRPr="00B61B66" w:rsidRDefault="006D2555" w:rsidP="00CE1842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V rámci programu Erasmus</w:t>
            </w:r>
            <w:r w:rsidR="003F777B"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+ sa študenti môžu zúčastniť študijného pobytu v zahraničí </w:t>
            </w:r>
            <w:r w:rsidR="00AF384C" w:rsidRPr="00B61B66">
              <w:rPr>
                <w:rFonts w:ascii="Arial Narrow" w:hAnsi="Arial Narrow"/>
                <w:sz w:val="24"/>
                <w:szCs w:val="24"/>
                <w:lang w:val="sk-SK"/>
              </w:rPr>
              <w:t>:</w:t>
            </w:r>
          </w:p>
          <w:p w:rsidR="00AF384C" w:rsidRPr="00B61B66" w:rsidRDefault="00AF384C" w:rsidP="00CE1842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O</w:t>
            </w:r>
            <w:r w:rsidR="003F777B" w:rsidRPr="00B61B66">
              <w:rPr>
                <w:rFonts w:ascii="Arial Narrow" w:hAnsi="Arial Narrow"/>
                <w:sz w:val="24"/>
                <w:szCs w:val="24"/>
                <w:lang w:val="sk-SK"/>
              </w:rPr>
              <w:t>pakovane v každej úrovni svojho vysokoškolského štúdia (</w:t>
            </w:r>
            <w:proofErr w:type="spellStart"/>
            <w:r w:rsidR="003F777B" w:rsidRPr="00B61B66">
              <w:rPr>
                <w:rFonts w:ascii="Arial Narrow" w:hAnsi="Arial Narrow"/>
                <w:sz w:val="24"/>
                <w:szCs w:val="24"/>
                <w:lang w:val="sk-SK"/>
              </w:rPr>
              <w:t>Bc</w:t>
            </w:r>
            <w:proofErr w:type="spellEnd"/>
            <w:r w:rsidR="003F777B"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3F777B" w:rsidRPr="00B61B66">
              <w:rPr>
                <w:rFonts w:ascii="Arial Narrow" w:hAnsi="Arial Narrow"/>
                <w:sz w:val="24"/>
                <w:szCs w:val="24"/>
                <w:lang w:val="sk-SK"/>
              </w:rPr>
              <w:t>Mgr</w:t>
            </w:r>
            <w:proofErr w:type="spellEnd"/>
            <w:r w:rsidR="003F777B"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EB2FAF" w:rsidRPr="00B61B66">
              <w:rPr>
                <w:rFonts w:ascii="Arial Narrow" w:hAnsi="Arial Narrow"/>
                <w:sz w:val="24"/>
                <w:szCs w:val="24"/>
                <w:lang w:val="sk-SK"/>
              </w:rPr>
              <w:t>,</w:t>
            </w:r>
            <w:r w:rsidR="003F777B"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PhD). Celkov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á dĺžka mobility</w:t>
            </w:r>
            <w:r w:rsidR="003F777B"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pre kaž</w:t>
            </w:r>
            <w:r w:rsidR="006D2555">
              <w:rPr>
                <w:rFonts w:ascii="Arial Narrow" w:hAnsi="Arial Narrow"/>
                <w:sz w:val="24"/>
                <w:szCs w:val="24"/>
                <w:lang w:val="sk-SK"/>
              </w:rPr>
              <w:t>dú úroveň štúdia je 12 mesiacov.</w:t>
            </w:r>
          </w:p>
          <w:p w:rsidR="003F777B" w:rsidRPr="00B61B66" w:rsidRDefault="003F777B" w:rsidP="00CE1842">
            <w:pPr>
              <w:spacing w:line="240" w:lineRule="auto"/>
              <w:rPr>
                <w:rFonts w:ascii="Arial Narrow" w:hAnsi="Arial Narrow"/>
                <w:b/>
                <w:caps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Možnosť druhého výjazdu môžu využiť aj študenti, ktorí už absolvovali študijný pobyt a / alebo praktickú stáž v rámci programu Erasmus</w:t>
            </w:r>
            <w:r w:rsidR="009C0F1D">
              <w:rPr>
                <w:rFonts w:ascii="Arial Narrow" w:hAnsi="Arial Narrow"/>
                <w:sz w:val="24"/>
                <w:szCs w:val="24"/>
                <w:lang w:val="sk-SK"/>
              </w:rPr>
              <w:t>+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:rsidR="003F777B" w:rsidRPr="00B61B66" w:rsidRDefault="003F777B" w:rsidP="003F6D25">
            <w:pPr>
              <w:ind w:right="-993"/>
              <w:rPr>
                <w:rFonts w:ascii="Arial Narrow" w:hAnsi="Arial Narrow" w:cs="Arial"/>
                <w:b/>
                <w:color w:val="002060"/>
                <w:sz w:val="24"/>
                <w:szCs w:val="24"/>
                <w:lang w:val="sk-SK"/>
              </w:rPr>
            </w:pPr>
          </w:p>
        </w:tc>
      </w:tr>
      <w:tr w:rsidR="00EB2FAF" w:rsidRPr="00B61B66" w:rsidTr="00AC5A4F">
        <w:tc>
          <w:tcPr>
            <w:tcW w:w="2376" w:type="dxa"/>
            <w:shd w:val="clear" w:color="auto" w:fill="FBD4B4"/>
          </w:tcPr>
          <w:p w:rsidR="00EB2FAF" w:rsidRPr="00B61B66" w:rsidRDefault="00EB2FAF" w:rsidP="00AF384C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NOMINÁCIA </w:t>
            </w:r>
          </w:p>
          <w:p w:rsidR="00EB2FAF" w:rsidRPr="00B61B66" w:rsidRDefault="00EB2FAF" w:rsidP="00AF384C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ŠTUDENTOV</w:t>
            </w:r>
          </w:p>
        </w:tc>
        <w:tc>
          <w:tcPr>
            <w:tcW w:w="6663" w:type="dxa"/>
            <w:shd w:val="clear" w:color="auto" w:fill="FBD4B4"/>
          </w:tcPr>
          <w:p w:rsidR="0004455C" w:rsidRPr="00B61B66" w:rsidRDefault="0004455C" w:rsidP="0004455C">
            <w:pPr>
              <w:spacing w:line="240" w:lineRule="auto"/>
              <w:ind w:left="-105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7F2F75"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Výberové konanie študentských mobilít prebieha  na úrovni jednotlivých 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 </w:t>
            </w:r>
          </w:p>
          <w:p w:rsidR="0004455C" w:rsidRPr="00B61B66" w:rsidRDefault="0004455C" w:rsidP="0004455C">
            <w:pPr>
              <w:spacing w:line="240" w:lineRule="auto"/>
              <w:ind w:left="-105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7F2F75" w:rsidRPr="00B61B66">
              <w:rPr>
                <w:rFonts w:ascii="Arial Narrow" w:hAnsi="Arial Narrow"/>
                <w:sz w:val="24"/>
                <w:szCs w:val="24"/>
                <w:lang w:val="sk-SK"/>
              </w:rPr>
              <w:t>fakúlt univerzity. Fakulta je povinná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7F2F75"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zverejniť na  svojej webovej stránke 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 </w:t>
            </w:r>
          </w:p>
          <w:p w:rsidR="009C0F1D" w:rsidRDefault="0004455C" w:rsidP="0004455C">
            <w:pPr>
              <w:spacing w:line="240" w:lineRule="auto"/>
              <w:ind w:left="-105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7F2F75"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najneskôr dva týždne pred termínom výberového konania  kritériá pre </w:t>
            </w:r>
            <w:r w:rsidR="009C0F1D">
              <w:rPr>
                <w:rFonts w:ascii="Arial Narrow" w:hAnsi="Arial Narrow"/>
                <w:sz w:val="24"/>
                <w:szCs w:val="24"/>
                <w:lang w:val="sk-SK"/>
              </w:rPr>
              <w:t xml:space="preserve">         </w:t>
            </w:r>
          </w:p>
          <w:p w:rsidR="009C0F1D" w:rsidRDefault="009C0F1D" w:rsidP="0004455C">
            <w:pPr>
              <w:spacing w:line="240" w:lineRule="auto"/>
              <w:ind w:left="-105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7F2F75" w:rsidRPr="00B61B66">
              <w:rPr>
                <w:rFonts w:ascii="Arial Narrow" w:hAnsi="Arial Narrow"/>
                <w:sz w:val="24"/>
                <w:szCs w:val="24"/>
                <w:lang w:val="sk-SK"/>
              </w:rPr>
              <w:t>výber študentov programu Erasmus</w:t>
            </w:r>
            <w:r w:rsidR="0004455C" w:rsidRPr="00B61B66">
              <w:rPr>
                <w:rFonts w:ascii="Arial Narrow" w:hAnsi="Arial Narrow"/>
                <w:sz w:val="24"/>
                <w:szCs w:val="24"/>
                <w:lang w:val="sk-SK"/>
              </w:rPr>
              <w:t>+</w:t>
            </w:r>
            <w:r w:rsidR="007F2F75"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na príslušný akademický rok spolu </w:t>
            </w:r>
          </w:p>
          <w:p w:rsidR="0004455C" w:rsidRPr="00B61B66" w:rsidRDefault="009C0F1D" w:rsidP="0004455C">
            <w:pPr>
              <w:spacing w:line="240" w:lineRule="auto"/>
              <w:ind w:left="-105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7F2F75" w:rsidRPr="00B61B66">
              <w:rPr>
                <w:rFonts w:ascii="Arial Narrow" w:hAnsi="Arial Narrow"/>
                <w:sz w:val="24"/>
                <w:szCs w:val="24"/>
                <w:lang w:val="sk-SK"/>
              </w:rPr>
              <w:t>s</w:t>
            </w:r>
            <w:r w:rsidR="0004455C"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7F2F75" w:rsidRPr="00B61B66">
              <w:rPr>
                <w:rFonts w:ascii="Arial Narrow" w:hAnsi="Arial Narrow"/>
                <w:sz w:val="24"/>
                <w:szCs w:val="24"/>
                <w:lang w:val="sk-SK"/>
              </w:rPr>
              <w:t>prihláškou na  študentskú mobilitu. Výber študentov musí  prebiehať</w:t>
            </w:r>
          </w:p>
          <w:p w:rsidR="0004455C" w:rsidRPr="00B61B66" w:rsidRDefault="009C0F1D" w:rsidP="0004455C">
            <w:pPr>
              <w:spacing w:line="240" w:lineRule="auto"/>
              <w:ind w:left="-105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7F2F75"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transparentne a výsledky výberového konania musia byť zverejnené.  </w:t>
            </w:r>
          </w:p>
          <w:p w:rsidR="007F2F75" w:rsidRPr="00B61B66" w:rsidRDefault="007F2F75" w:rsidP="0004455C">
            <w:pPr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Všetky požiadavky týkajúce sa výberu študenta musia byť jasne stanovené, zdokumentované a musia byť</w:t>
            </w:r>
            <w:r w:rsid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k dispozícii všetkým účastníkom výberového konania. Výsledky výberového konania musia obsahovať 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jasné dôvody schválenia</w:t>
            </w:r>
            <w:r w:rsidR="006D2555">
              <w:rPr>
                <w:rFonts w:ascii="Arial Narrow" w:hAnsi="Arial Narrow"/>
                <w:sz w:val="24"/>
                <w:szCs w:val="24"/>
                <w:lang w:val="sk-SK"/>
              </w:rPr>
              <w:t>,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 xml:space="preserve"> ako aj zamietnuti</w:t>
            </w:r>
            <w:r w:rsidR="00B61B66">
              <w:rPr>
                <w:rFonts w:ascii="Arial Narrow" w:hAnsi="Arial Narrow"/>
                <w:sz w:val="24"/>
                <w:szCs w:val="24"/>
                <w:lang w:val="sk-SK"/>
              </w:rPr>
              <w:t>a. Nominovaní študenti musia spĺ</w:t>
            </w: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ňať kritériá oprávnenosti mobility študentov, ktoré sú súčasťou finančnej zmluvy.</w:t>
            </w:r>
          </w:p>
          <w:p w:rsidR="00EB2FAF" w:rsidRPr="00B61B66" w:rsidRDefault="00EB2FAF" w:rsidP="003F6D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0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</w:tc>
      </w:tr>
      <w:tr w:rsidR="005778AF" w:rsidRPr="00B61B66" w:rsidTr="00AC5A4F">
        <w:tc>
          <w:tcPr>
            <w:tcW w:w="2376" w:type="dxa"/>
            <w:shd w:val="clear" w:color="auto" w:fill="E5DFEC"/>
          </w:tcPr>
          <w:p w:rsidR="005778AF" w:rsidRPr="00B61B66" w:rsidRDefault="005778AF" w:rsidP="00AF384C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  <w:p w:rsidR="00723F04" w:rsidRPr="00B61B66" w:rsidRDefault="00723F04" w:rsidP="00AF384C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REALIZÁCIA</w:t>
            </w:r>
          </w:p>
          <w:p w:rsidR="00723F04" w:rsidRPr="00B61B66" w:rsidRDefault="00723F04" w:rsidP="00AF384C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MOBILITY</w:t>
            </w:r>
          </w:p>
          <w:p w:rsidR="00723F04" w:rsidRPr="00B61B66" w:rsidRDefault="00723F04" w:rsidP="00AF384C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  <w:p w:rsidR="00723F04" w:rsidRPr="00B61B66" w:rsidRDefault="00723F04" w:rsidP="00AF384C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  <w:p w:rsidR="00723F04" w:rsidRPr="00B61B66" w:rsidRDefault="00723F04" w:rsidP="00AF384C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  <w:p w:rsidR="00723F04" w:rsidRPr="00B61B66" w:rsidRDefault="00723F04" w:rsidP="00AF384C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</w:tc>
        <w:tc>
          <w:tcPr>
            <w:tcW w:w="6663" w:type="dxa"/>
            <w:shd w:val="clear" w:color="auto" w:fill="E5DFEC"/>
          </w:tcPr>
          <w:p w:rsidR="00723F04" w:rsidRPr="00D54B71" w:rsidRDefault="00723F04" w:rsidP="00723F04">
            <w:pPr>
              <w:widowControl w:val="0"/>
              <w:autoSpaceDE w:val="0"/>
              <w:autoSpaceDN w:val="0"/>
              <w:adjustRightInd w:val="0"/>
              <w:spacing w:line="250" w:lineRule="exact"/>
              <w:ind w:left="363" w:right="-20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  <w:p w:rsidR="00723F04" w:rsidRPr="009C0F1D" w:rsidRDefault="00723F04" w:rsidP="00723F04">
            <w:pPr>
              <w:widowControl w:val="0"/>
              <w:autoSpaceDE w:val="0"/>
              <w:autoSpaceDN w:val="0"/>
              <w:adjustRightInd w:val="0"/>
              <w:spacing w:line="250" w:lineRule="exact"/>
              <w:ind w:left="363" w:right="-20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 xml:space="preserve">Pred začatím realizácie mobility študenta v zahraničí musí príslušná fakulta  skontrolovať, či program štúdia, ktorý bude študent na prijímajúcej vysokej škole navštevovať, je v súlade so študijným programom, ktorý študent študuje na domácej univerzite, aby mu štúdium absolvované v zahraničí mohlo byť uznané. Každý študent, ktorý vycestuje na štúdium, musí mať vopred vystavenú </w:t>
            </w:r>
            <w:r w:rsidRPr="00D54B71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Zmluvu </w:t>
            </w:r>
            <w:r w:rsidRPr="009C0F1D">
              <w:rPr>
                <w:rFonts w:ascii="Arial Narrow" w:hAnsi="Arial Narrow"/>
                <w:b/>
                <w:sz w:val="24"/>
                <w:szCs w:val="24"/>
                <w:lang w:val="sk-SK"/>
              </w:rPr>
              <w:t>o</w:t>
            </w:r>
            <w:r w:rsidR="009C0F1D" w:rsidRPr="009C0F1D">
              <w:rPr>
                <w:rFonts w:ascii="Arial Narrow" w:hAnsi="Arial Narrow"/>
                <w:b/>
                <w:sz w:val="24"/>
                <w:szCs w:val="24"/>
                <w:lang w:val="sk-SK"/>
              </w:rPr>
              <w:t> </w:t>
            </w:r>
            <w:r w:rsidRPr="009C0F1D">
              <w:rPr>
                <w:rFonts w:ascii="Arial Narrow" w:hAnsi="Arial Narrow"/>
                <w:b/>
                <w:sz w:val="24"/>
                <w:szCs w:val="24"/>
                <w:lang w:val="sk-SK"/>
              </w:rPr>
              <w:t>štúdiu</w:t>
            </w:r>
            <w:r w:rsidR="009C0F1D" w:rsidRPr="009C0F1D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 (</w:t>
            </w:r>
            <w:proofErr w:type="spellStart"/>
            <w:r w:rsidR="009C0F1D" w:rsidRPr="009C0F1D">
              <w:rPr>
                <w:rFonts w:ascii="Arial Narrow" w:hAnsi="Arial Narrow"/>
                <w:b/>
                <w:sz w:val="24"/>
                <w:szCs w:val="24"/>
                <w:lang w:val="sk-SK"/>
              </w:rPr>
              <w:t>Learning</w:t>
            </w:r>
            <w:proofErr w:type="spellEnd"/>
            <w:r w:rsidR="009C0F1D" w:rsidRPr="009C0F1D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="009C0F1D" w:rsidRPr="009C0F1D">
              <w:rPr>
                <w:rFonts w:ascii="Arial Narrow" w:hAnsi="Arial Narrow"/>
                <w:b/>
                <w:sz w:val="24"/>
                <w:szCs w:val="24"/>
                <w:lang w:val="sk-SK"/>
              </w:rPr>
              <w:t>agreement</w:t>
            </w:r>
            <w:proofErr w:type="spellEnd"/>
            <w:r w:rsidR="009C0F1D" w:rsidRPr="009C0F1D">
              <w:rPr>
                <w:rFonts w:ascii="Arial Narrow" w:hAnsi="Arial Narrow"/>
                <w:b/>
                <w:sz w:val="24"/>
                <w:szCs w:val="24"/>
                <w:lang w:val="sk-SK"/>
              </w:rPr>
              <w:t>)</w:t>
            </w:r>
            <w:r w:rsidRPr="009C0F1D">
              <w:rPr>
                <w:rFonts w:ascii="Arial Narrow" w:hAnsi="Arial Narrow"/>
                <w:sz w:val="24"/>
                <w:szCs w:val="24"/>
                <w:lang w:val="sk-SK"/>
              </w:rPr>
              <w:t>, ktorá musí byť  schválená prijímajúcou  vysokou školou, domácou vysokou školou a študentom.</w:t>
            </w:r>
          </w:p>
          <w:p w:rsidR="00723F04" w:rsidRPr="009C0F1D" w:rsidRDefault="00B61B66" w:rsidP="00723F04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335" w:right="196" w:firstLine="14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9C0F1D">
              <w:rPr>
                <w:rFonts w:ascii="Arial Narrow" w:hAnsi="Arial Narrow"/>
                <w:sz w:val="24"/>
                <w:szCs w:val="24"/>
                <w:lang w:val="sk-SK"/>
              </w:rPr>
              <w:t>Akékoľ</w:t>
            </w:r>
            <w:r w:rsidR="00723F04" w:rsidRPr="009C0F1D">
              <w:rPr>
                <w:rFonts w:ascii="Arial Narrow" w:hAnsi="Arial Narrow"/>
                <w:sz w:val="24"/>
                <w:szCs w:val="24"/>
                <w:lang w:val="sk-SK"/>
              </w:rPr>
              <w:t>vek nevyhnutné zmeny v Zmluve o štúdiu, ktoré študent zistí po príchode na prijímajúcu vysokú školu, musia byť ukončené a formálne zdokumentované do jedného mesiaca po jeho príchode. Ďalšie nevyhnutné zmeny, musia byť formálne odsúhlasené čo najrýchlejšie všetkými troma stranami.</w:t>
            </w:r>
            <w:r w:rsidR="00723F04" w:rsidRPr="009C0F1D">
              <w:rPr>
                <w:rFonts w:ascii="Arial" w:hAnsi="Arial" w:cs="Arial"/>
                <w:w w:val="79"/>
                <w:sz w:val="24"/>
                <w:szCs w:val="24"/>
                <w:lang w:val="sk-SK"/>
              </w:rPr>
              <w:t xml:space="preserve"> </w:t>
            </w:r>
            <w:r w:rsidRPr="009C0F1D">
              <w:rPr>
                <w:rFonts w:ascii="Arial Narrow" w:hAnsi="Arial Narrow"/>
                <w:sz w:val="24"/>
                <w:szCs w:val="24"/>
                <w:lang w:val="sk-SK"/>
              </w:rPr>
              <w:t>Podľ</w:t>
            </w:r>
            <w:r w:rsidR="00723F04" w:rsidRPr="009C0F1D">
              <w:rPr>
                <w:rFonts w:ascii="Arial Narrow" w:hAnsi="Arial Narrow"/>
                <w:sz w:val="24"/>
                <w:szCs w:val="24"/>
                <w:lang w:val="sk-SK"/>
              </w:rPr>
              <w:t xml:space="preserve">a finančnej zmluvy je študent povinný získať  minimálne </w:t>
            </w:r>
            <w:r w:rsidR="009C0F1D" w:rsidRPr="009C0F1D">
              <w:rPr>
                <w:rFonts w:ascii="Arial Narrow" w:hAnsi="Arial Narrow"/>
                <w:sz w:val="24"/>
                <w:szCs w:val="24"/>
                <w:lang w:val="sk-SK"/>
              </w:rPr>
              <w:t>30</w:t>
            </w:r>
            <w:r w:rsidR="00723F04" w:rsidRPr="009C0F1D">
              <w:rPr>
                <w:rFonts w:ascii="Arial Narrow" w:hAnsi="Arial Narrow"/>
                <w:sz w:val="24"/>
                <w:szCs w:val="24"/>
                <w:lang w:val="sk-SK"/>
              </w:rPr>
              <w:t xml:space="preserve"> kreditov za </w:t>
            </w:r>
            <w:r w:rsidR="009C0F1D" w:rsidRPr="009C0F1D">
              <w:rPr>
                <w:rFonts w:ascii="Arial Narrow" w:hAnsi="Arial Narrow"/>
                <w:sz w:val="24"/>
                <w:szCs w:val="24"/>
                <w:lang w:val="sk-SK"/>
              </w:rPr>
              <w:t xml:space="preserve">jeden </w:t>
            </w:r>
            <w:r w:rsidR="00723F04" w:rsidRPr="009C0F1D">
              <w:rPr>
                <w:rFonts w:ascii="Arial Narrow" w:hAnsi="Arial Narrow"/>
                <w:sz w:val="24"/>
                <w:szCs w:val="24"/>
                <w:lang w:val="sk-SK"/>
              </w:rPr>
              <w:t>semester.</w:t>
            </w:r>
          </w:p>
          <w:p w:rsidR="009C0F1D" w:rsidRPr="009C0F1D" w:rsidRDefault="009C0F1D" w:rsidP="00723F04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335" w:right="196" w:firstLine="14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9C0F1D">
              <w:rPr>
                <w:rFonts w:ascii="Arial Narrow" w:hAnsi="Arial Narrow"/>
                <w:sz w:val="24"/>
                <w:szCs w:val="24"/>
                <w:lang w:val="sk-SK"/>
              </w:rPr>
              <w:t>Na účely Zmluvy o poskytnutí finančnej podpory je študent povinný na mobilite získať minimálne 15 kreditov bez povinnosti vrátenia finančnej podpory poskytnutej podľa Zmluvy o poskytnutí finančnej podpory (ďalej len finančná   podpora). Po získaní nižšieho počtu kreditov bez dokladovania vážnej príčiny je študent povinný vrátiť celú časť finančnej podpory.</w:t>
            </w:r>
          </w:p>
          <w:p w:rsidR="005778AF" w:rsidRPr="00D54B71" w:rsidRDefault="005778AF" w:rsidP="00C146AA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right="196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</w:tc>
      </w:tr>
      <w:tr w:rsidR="00723F04" w:rsidRPr="00B61B66" w:rsidTr="00AC5A4F">
        <w:tc>
          <w:tcPr>
            <w:tcW w:w="2376" w:type="dxa"/>
            <w:shd w:val="clear" w:color="auto" w:fill="DBE5F1"/>
          </w:tcPr>
          <w:p w:rsidR="00723F04" w:rsidRPr="00B61B66" w:rsidRDefault="00723F04" w:rsidP="00AF384C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  <w:p w:rsidR="00C146AA" w:rsidRPr="00B61B66" w:rsidRDefault="00C146AA" w:rsidP="00AF384C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PREDĹŽENIE</w:t>
            </w:r>
          </w:p>
          <w:p w:rsidR="00C146AA" w:rsidRPr="00B61B66" w:rsidRDefault="00C146AA" w:rsidP="00AF384C">
            <w:pPr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MOBILITY</w:t>
            </w:r>
          </w:p>
        </w:tc>
        <w:tc>
          <w:tcPr>
            <w:tcW w:w="6663" w:type="dxa"/>
            <w:shd w:val="clear" w:color="auto" w:fill="DBE5F1"/>
          </w:tcPr>
          <w:p w:rsidR="00C146AA" w:rsidRPr="00D54B71" w:rsidRDefault="00C146AA" w:rsidP="00C146AA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335" w:right="196" w:firstLine="14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  <w:p w:rsidR="00C146AA" w:rsidRPr="00D54B71" w:rsidRDefault="00B61B66" w:rsidP="00C146AA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335" w:right="196" w:firstLine="14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>Predĺ</w:t>
            </w:r>
            <w:r w:rsidR="00C146AA" w:rsidRPr="00D54B71">
              <w:rPr>
                <w:rFonts w:ascii="Arial Narrow" w:hAnsi="Arial Narrow"/>
                <w:sz w:val="24"/>
                <w:szCs w:val="24"/>
                <w:lang w:val="sk-SK"/>
              </w:rPr>
              <w:t>ženie mobility je možné len po vzájomnej písomnej dohode medzi študentom, vysielajúcou a prijímajúcou inštitúciou.  Študentovi   nevzniká  automat</w:t>
            </w: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>icky  finančný  nárok  na  predĺ</w:t>
            </w:r>
            <w:r w:rsidR="00C146AA" w:rsidRPr="00D54B71">
              <w:rPr>
                <w:rFonts w:ascii="Arial Narrow" w:hAnsi="Arial Narrow"/>
                <w:sz w:val="24"/>
                <w:szCs w:val="24"/>
                <w:lang w:val="sk-SK"/>
              </w:rPr>
              <w:t>ženú  mobilitu,  o pred</w:t>
            </w: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>ĺ</w:t>
            </w:r>
            <w:r w:rsidR="00C146AA" w:rsidRPr="00D54B71">
              <w:rPr>
                <w:rFonts w:ascii="Arial Narrow" w:hAnsi="Arial Narrow"/>
                <w:sz w:val="24"/>
                <w:szCs w:val="24"/>
                <w:lang w:val="sk-SK"/>
              </w:rPr>
              <w:t xml:space="preserve">žení  mobility rozhodujú prodekani pre zahraničie príslušnej fakulty. </w:t>
            </w:r>
          </w:p>
          <w:p w:rsidR="00C146AA" w:rsidRPr="00D54B71" w:rsidRDefault="00B61B66" w:rsidP="00C146AA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335" w:right="196" w:firstLine="14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>Pri predĺ</w:t>
            </w:r>
            <w:r w:rsidR="00C146AA" w:rsidRPr="00D54B71">
              <w:rPr>
                <w:rFonts w:ascii="Arial Narrow" w:hAnsi="Arial Narrow"/>
                <w:sz w:val="24"/>
                <w:szCs w:val="24"/>
                <w:lang w:val="sk-SK"/>
              </w:rPr>
              <w:t>žení mobility, musí byť písomne (dodatkom k zmluve) dohodnuté nasledovne:</w:t>
            </w:r>
          </w:p>
          <w:p w:rsidR="00C146AA" w:rsidRPr="00D54B71" w:rsidRDefault="00C146AA" w:rsidP="00C146AA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335" w:right="196" w:firstLine="14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>•</w:t>
            </w: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ab/>
              <w:t>súhlas musí byť dohodnutý a potvrdený ešte pred pôvodne plánovaným ukončením mobility;</w:t>
            </w:r>
          </w:p>
          <w:p w:rsidR="00C146AA" w:rsidRPr="00D54B71" w:rsidRDefault="00B61B66" w:rsidP="00C146AA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335" w:right="196" w:firstLine="14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>•</w:t>
            </w: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ab/>
              <w:t>predĺ</w:t>
            </w:r>
            <w:r w:rsidR="00C146AA" w:rsidRPr="00D54B71">
              <w:rPr>
                <w:rFonts w:ascii="Arial Narrow" w:hAnsi="Arial Narrow"/>
                <w:sz w:val="24"/>
                <w:szCs w:val="24"/>
                <w:lang w:val="sk-SK"/>
              </w:rPr>
              <w:t>ženie študijného pobytu musí nasledovať okamžite po riadnom období mobility. Študijný pobyt nesmie byť prerušený (sviatky a univerzitné prázdniny sa nepovažujú za prerušenie). Povolené prerušenie mobility musí byť opodstatnené zo strany domácej VŠ.</w:t>
            </w:r>
          </w:p>
          <w:p w:rsidR="00723F04" w:rsidRPr="00D54B71" w:rsidRDefault="00723F04" w:rsidP="00C146AA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335" w:right="196" w:firstLine="14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</w:tc>
      </w:tr>
      <w:tr w:rsidR="00C146AA" w:rsidRPr="00B61B66" w:rsidTr="00AC5A4F">
        <w:tc>
          <w:tcPr>
            <w:tcW w:w="2376" w:type="dxa"/>
            <w:shd w:val="clear" w:color="auto" w:fill="92CDDC"/>
          </w:tcPr>
          <w:p w:rsidR="00C146AA" w:rsidRPr="00B61B66" w:rsidRDefault="00C146AA" w:rsidP="00A80EBF">
            <w:pPr>
              <w:spacing w:line="240" w:lineRule="auto"/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  <w:p w:rsidR="00A80EBF" w:rsidRPr="00B61B66" w:rsidRDefault="00A80EBF" w:rsidP="00A80EBF">
            <w:pPr>
              <w:spacing w:line="240" w:lineRule="auto"/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ON-LINE JAZYKOVÁ</w:t>
            </w:r>
          </w:p>
          <w:p w:rsidR="00A80EBF" w:rsidRPr="00B61B66" w:rsidRDefault="00A80EBF" w:rsidP="00A80EBF">
            <w:pPr>
              <w:spacing w:line="240" w:lineRule="auto"/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61B66">
              <w:rPr>
                <w:rFonts w:ascii="Arial Narrow" w:hAnsi="Arial Narrow"/>
                <w:sz w:val="24"/>
                <w:szCs w:val="24"/>
                <w:lang w:val="sk-SK"/>
              </w:rPr>
              <w:t>PODPORA</w:t>
            </w:r>
          </w:p>
        </w:tc>
        <w:tc>
          <w:tcPr>
            <w:tcW w:w="6663" w:type="dxa"/>
            <w:shd w:val="clear" w:color="auto" w:fill="92CDDC"/>
          </w:tcPr>
          <w:p w:rsidR="00A80EBF" w:rsidRPr="00B61B66" w:rsidRDefault="00A80EBF" w:rsidP="00A80EBF">
            <w:pPr>
              <w:pStyle w:val="Textvysvetlivky"/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61B66">
              <w:rPr>
                <w:rFonts w:ascii="Arial Narrow" w:hAnsi="Arial Narrow"/>
                <w:sz w:val="22"/>
                <w:szCs w:val="22"/>
                <w:lang w:val="sk-SK"/>
              </w:rPr>
              <w:t xml:space="preserve">   </w:t>
            </w:r>
          </w:p>
          <w:p w:rsidR="00307FDE" w:rsidRPr="00D54B71" w:rsidRDefault="00F9530B" w:rsidP="00F9530B">
            <w:pPr>
              <w:pStyle w:val="Textvysvetlivky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  <w:lang w:val="sk-SK"/>
              </w:rPr>
            </w:pPr>
            <w:r w:rsidRPr="00D54B71">
              <w:rPr>
                <w:rFonts w:ascii="Arial Narrow" w:hAnsi="Arial Narrow" w:cs="Calibri"/>
                <w:sz w:val="24"/>
                <w:szCs w:val="24"/>
                <w:lang w:val="sk-SK"/>
              </w:rPr>
              <w:t>Účastník mobility musí  prejsť OLS jazyko</w:t>
            </w:r>
            <w:r w:rsidR="00307FDE" w:rsidRPr="00D54B71">
              <w:rPr>
                <w:rFonts w:ascii="Arial Narrow" w:hAnsi="Arial Narrow" w:cs="Calibri"/>
                <w:sz w:val="24"/>
                <w:szCs w:val="24"/>
                <w:lang w:val="sk-SK"/>
              </w:rPr>
              <w:t xml:space="preserve">vým hodnotením pred mobilitou </w:t>
            </w:r>
          </w:p>
          <w:p w:rsidR="00F9530B" w:rsidRPr="00D54B71" w:rsidRDefault="00307FDE" w:rsidP="00F9530B">
            <w:pPr>
              <w:pStyle w:val="Textvysvetlivky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  <w:lang w:val="sk-SK"/>
              </w:rPr>
            </w:pPr>
            <w:r w:rsidRPr="00D54B71">
              <w:rPr>
                <w:rFonts w:ascii="Arial Narrow" w:hAnsi="Arial Narrow" w:cs="Calibri"/>
                <w:sz w:val="24"/>
                <w:szCs w:val="24"/>
                <w:lang w:val="sk-SK"/>
              </w:rPr>
              <w:t xml:space="preserve">a </w:t>
            </w:r>
            <w:r w:rsidR="00F9530B" w:rsidRPr="00D54B71">
              <w:rPr>
                <w:rFonts w:ascii="Arial Narrow" w:hAnsi="Arial Narrow" w:cs="Calibri"/>
                <w:sz w:val="24"/>
                <w:szCs w:val="24"/>
                <w:lang w:val="sk-SK"/>
              </w:rPr>
              <w:t xml:space="preserve">záverečným hodnotením po mobilite. Táto povinnosť sa netýka </w:t>
            </w:r>
            <w:r w:rsidR="00D54B71">
              <w:rPr>
                <w:rFonts w:ascii="Arial Narrow" w:hAnsi="Arial Narrow" w:cs="Calibri"/>
                <w:sz w:val="24"/>
                <w:szCs w:val="24"/>
                <w:lang w:val="sk-SK"/>
              </w:rPr>
              <w:t xml:space="preserve">  </w:t>
            </w:r>
            <w:r w:rsidR="00F9530B" w:rsidRPr="00D54B71">
              <w:rPr>
                <w:rFonts w:ascii="Arial Narrow" w:hAnsi="Arial Narrow" w:cs="Calibri"/>
                <w:sz w:val="24"/>
                <w:szCs w:val="24"/>
                <w:lang w:val="sk-SK"/>
              </w:rPr>
              <w:t>rodených hovoriacich a mimoriadnych pr</w:t>
            </w:r>
            <w:r w:rsidR="006D2555" w:rsidRPr="00D54B71">
              <w:rPr>
                <w:rFonts w:ascii="Arial Narrow" w:hAnsi="Arial Narrow" w:cs="Calibri"/>
                <w:sz w:val="24"/>
                <w:szCs w:val="24"/>
                <w:lang w:val="sk-SK"/>
              </w:rPr>
              <w:t>ípadov (napríklad študenta so ZŤ</w:t>
            </w:r>
            <w:r w:rsidR="00F9530B" w:rsidRPr="00D54B71">
              <w:rPr>
                <w:rFonts w:ascii="Arial Narrow" w:hAnsi="Arial Narrow" w:cs="Calibri"/>
                <w:sz w:val="24"/>
                <w:szCs w:val="24"/>
                <w:lang w:val="sk-SK"/>
              </w:rPr>
              <w:t xml:space="preserve">P </w:t>
            </w:r>
            <w:r w:rsidRPr="00D54B71">
              <w:rPr>
                <w:rFonts w:ascii="Arial Narrow" w:hAnsi="Arial Narrow" w:cs="Calibri"/>
                <w:sz w:val="24"/>
                <w:szCs w:val="24"/>
                <w:lang w:val="sk-SK"/>
              </w:rPr>
              <w:t xml:space="preserve">  </w:t>
            </w:r>
            <w:r w:rsidR="00F9530B" w:rsidRPr="00D54B71">
              <w:rPr>
                <w:rFonts w:ascii="Arial Narrow" w:hAnsi="Arial Narrow" w:cs="Calibri"/>
                <w:sz w:val="24"/>
                <w:szCs w:val="24"/>
                <w:lang w:val="sk-SK"/>
              </w:rPr>
              <w:t>indisponovaného vykonať takéto hodnotenie).</w:t>
            </w:r>
          </w:p>
          <w:p w:rsidR="00307FDE" w:rsidRPr="00D54B71" w:rsidRDefault="00F9530B" w:rsidP="00A80EBF">
            <w:pPr>
              <w:pStyle w:val="Textvysvetlivky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  <w:lang w:val="sk-SK"/>
              </w:rPr>
            </w:pPr>
            <w:r w:rsidRPr="00D54B71">
              <w:rPr>
                <w:rFonts w:ascii="Arial Narrow" w:hAnsi="Arial Narrow" w:cs="Calibri"/>
                <w:sz w:val="24"/>
                <w:szCs w:val="24"/>
                <w:lang w:val="sk-SK"/>
              </w:rPr>
              <w:t xml:space="preserve">Absolvovanie OLS hodnotenia pred mobilitou je základnou požiadavkou </w:t>
            </w:r>
          </w:p>
          <w:p w:rsidR="00C146AA" w:rsidRPr="00B61B66" w:rsidRDefault="00F9530B" w:rsidP="00D54B71">
            <w:pPr>
              <w:pStyle w:val="Textvysvetlivky"/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  <w:lang w:val="sk-SK" w:eastAsia="sk-SK"/>
              </w:rPr>
            </w:pPr>
            <w:r w:rsidRPr="00D54B71">
              <w:rPr>
                <w:rFonts w:ascii="Arial Narrow" w:hAnsi="Arial Narrow" w:cs="Calibri"/>
                <w:sz w:val="24"/>
                <w:szCs w:val="24"/>
                <w:lang w:val="sk-SK"/>
              </w:rPr>
              <w:t>mobility. Toto hodnotenie prebehne až po výbere študentov a pred podpisom</w:t>
            </w:r>
            <w:r w:rsidR="00D54B71">
              <w:rPr>
                <w:rFonts w:ascii="Arial Narrow" w:hAnsi="Arial Narrow" w:cs="Calibri"/>
                <w:sz w:val="24"/>
                <w:szCs w:val="24"/>
                <w:lang w:val="sk-SK"/>
              </w:rPr>
              <w:t xml:space="preserve"> </w:t>
            </w:r>
            <w:r w:rsidRPr="00D54B71">
              <w:rPr>
                <w:rFonts w:ascii="Arial Narrow" w:hAnsi="Arial Narrow" w:cs="Calibri"/>
                <w:sz w:val="24"/>
                <w:szCs w:val="24"/>
                <w:lang w:val="sk-SK"/>
              </w:rPr>
              <w:t xml:space="preserve">Zmluvy o štúdiu, resp. Zmluvy o poskytnutí finančnej podpory. </w:t>
            </w:r>
            <w:r w:rsidR="00A80EBF" w:rsidRPr="00D54B71">
              <w:rPr>
                <w:rFonts w:ascii="Arial Narrow" w:hAnsi="Arial Narrow"/>
                <w:sz w:val="24"/>
                <w:szCs w:val="24"/>
                <w:lang w:val="sk-SK"/>
              </w:rPr>
              <w:t>Študentom, ktorí</w:t>
            </w:r>
            <w:r w:rsidR="00A80EBF" w:rsidRPr="00D54B71">
              <w:rPr>
                <w:rFonts w:ascii="Arial Narrow" w:hAnsi="Arial Narrow"/>
                <w:sz w:val="24"/>
                <w:szCs w:val="24"/>
                <w:lang w:val="sk-SK" w:eastAsia="sk-SK"/>
              </w:rPr>
              <w:t xml:space="preserve"> dosiahnu v  testoch slabší výsledok, TU  pridelí  licenciu </w:t>
            </w:r>
            <w:r w:rsidR="00A80EBF" w:rsidRPr="00D54B71">
              <w:rPr>
                <w:rFonts w:ascii="Arial Narrow" w:hAnsi="Arial Narrow"/>
                <w:sz w:val="24"/>
                <w:szCs w:val="24"/>
                <w:lang w:val="sk-SK" w:eastAsia="sk-SK"/>
              </w:rPr>
              <w:lastRenderedPageBreak/>
              <w:t>na absolvovanie jazykového kurzu. P</w:t>
            </w:r>
            <w:r w:rsidR="00A80EBF" w:rsidRPr="00D54B71">
              <w:rPr>
                <w:rFonts w:ascii="Arial Narrow" w:hAnsi="Arial Narrow"/>
                <w:sz w:val="24"/>
                <w:szCs w:val="24"/>
                <w:lang w:val="sk-SK"/>
              </w:rPr>
              <w:t>odmienkou platby poslednej splátky podpory je podanie</w:t>
            </w:r>
            <w:r w:rsidR="00D54B71">
              <w:rPr>
                <w:rFonts w:ascii="Arial Narrow" w:hAnsi="Arial Narrow"/>
                <w:sz w:val="24"/>
                <w:szCs w:val="24"/>
                <w:lang w:val="sk-SK"/>
              </w:rPr>
              <w:t xml:space="preserve"> p</w:t>
            </w:r>
            <w:r w:rsidR="00A80EBF" w:rsidRPr="00D54B71">
              <w:rPr>
                <w:rFonts w:ascii="Arial Narrow" w:hAnsi="Arial Narrow"/>
                <w:sz w:val="24"/>
                <w:szCs w:val="24"/>
                <w:lang w:val="sk-SK"/>
              </w:rPr>
              <w:t>ovinného on-line jazykového hodnotenia na konci mobility.</w:t>
            </w:r>
          </w:p>
        </w:tc>
      </w:tr>
      <w:tr w:rsidR="0024570A" w:rsidRPr="00B61B66" w:rsidTr="006425F0">
        <w:trPr>
          <w:trHeight w:val="3031"/>
        </w:trPr>
        <w:tc>
          <w:tcPr>
            <w:tcW w:w="2376" w:type="dxa"/>
            <w:shd w:val="clear" w:color="auto" w:fill="92D050"/>
          </w:tcPr>
          <w:p w:rsidR="0024570A" w:rsidRPr="00B61B66" w:rsidRDefault="0024570A" w:rsidP="00A80EBF">
            <w:pPr>
              <w:spacing w:line="240" w:lineRule="auto"/>
              <w:ind w:right="-993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</w:tc>
        <w:tc>
          <w:tcPr>
            <w:tcW w:w="6663" w:type="dxa"/>
            <w:shd w:val="clear" w:color="auto" w:fill="92D050"/>
          </w:tcPr>
          <w:p w:rsidR="003F6D25" w:rsidRPr="00D54B71" w:rsidRDefault="0024570A" w:rsidP="0024570A">
            <w:pPr>
              <w:tabs>
                <w:tab w:val="left" w:pos="567"/>
              </w:tabs>
              <w:spacing w:line="240" w:lineRule="auto"/>
              <w:ind w:left="567" w:hanging="567"/>
              <w:jc w:val="both"/>
              <w:rPr>
                <w:sz w:val="24"/>
                <w:szCs w:val="24"/>
                <w:lang w:val="sk-SK"/>
              </w:rPr>
            </w:pPr>
            <w:r w:rsidRPr="00D54B71">
              <w:rPr>
                <w:sz w:val="24"/>
                <w:szCs w:val="24"/>
                <w:lang w:val="sk-SK"/>
              </w:rPr>
              <w:t xml:space="preserve"> </w:t>
            </w:r>
          </w:p>
          <w:p w:rsidR="0024570A" w:rsidRPr="00D54B71" w:rsidRDefault="0024570A" w:rsidP="0024570A">
            <w:pPr>
              <w:tabs>
                <w:tab w:val="left" w:pos="567"/>
              </w:tabs>
              <w:spacing w:line="240" w:lineRule="auto"/>
              <w:ind w:left="567" w:hanging="567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>Po ukončení mobility je účastník  povinný predložiť:</w:t>
            </w:r>
          </w:p>
          <w:p w:rsidR="0024570A" w:rsidRPr="00D54B71" w:rsidRDefault="0024570A" w:rsidP="0024570A">
            <w:pPr>
              <w:tabs>
                <w:tab w:val="left" w:pos="567"/>
              </w:tabs>
              <w:suppressAutoHyphens/>
              <w:spacing w:line="240" w:lineRule="auto"/>
              <w:ind w:left="50"/>
              <w:jc w:val="both"/>
              <w:rPr>
                <w:rFonts w:ascii="Arial Narrow" w:hAnsi="Arial Narrow"/>
                <w:i/>
                <w:sz w:val="24"/>
                <w:szCs w:val="24"/>
                <w:lang w:val="sk-SK"/>
              </w:rPr>
            </w:pPr>
            <w:r w:rsidRPr="00D54B71">
              <w:rPr>
                <w:rFonts w:ascii="Arial Narrow" w:hAnsi="Arial Narrow"/>
                <w:b/>
                <w:sz w:val="24"/>
                <w:szCs w:val="24"/>
                <w:lang w:val="sk-SK"/>
              </w:rPr>
              <w:t>-</w:t>
            </w:r>
            <w:r w:rsidR="00D54B71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 </w:t>
            </w:r>
            <w:r w:rsidRPr="00D54B71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potvrdenie o dĺžke pobytu </w:t>
            </w:r>
            <w:r w:rsidRPr="00D54B71">
              <w:rPr>
                <w:rFonts w:ascii="Arial Narrow" w:hAnsi="Arial Narrow"/>
                <w:b/>
                <w:i/>
                <w:sz w:val="24"/>
                <w:szCs w:val="24"/>
                <w:lang w:val="sk-SK"/>
              </w:rPr>
              <w:t>(</w:t>
            </w:r>
            <w:r w:rsidRPr="00D54B71">
              <w:rPr>
                <w:rFonts w:ascii="Arial Narrow" w:hAnsi="Arial Narrow"/>
                <w:i/>
                <w:sz w:val="24"/>
                <w:szCs w:val="24"/>
                <w:lang w:val="sk-SK"/>
              </w:rPr>
              <w:t xml:space="preserve"> prvý a posledný deň na prijímajúcej inštitúcii, </w:t>
            </w:r>
            <w:r w:rsidRPr="00D54B71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 </w:t>
            </w:r>
            <w:r w:rsidRPr="00D54B71">
              <w:rPr>
                <w:rFonts w:ascii="Arial Narrow" w:hAnsi="Arial Narrow"/>
                <w:i/>
                <w:sz w:val="24"/>
                <w:szCs w:val="24"/>
                <w:lang w:val="sk-SK"/>
              </w:rPr>
              <w:t>potvrdený koordinátorom )</w:t>
            </w:r>
          </w:p>
          <w:p w:rsidR="0024570A" w:rsidRPr="00D54B71" w:rsidRDefault="0024570A" w:rsidP="0024570A">
            <w:pPr>
              <w:tabs>
                <w:tab w:val="left" w:pos="567"/>
              </w:tabs>
              <w:suppressAutoHyphens/>
              <w:spacing w:line="240" w:lineRule="auto"/>
              <w:ind w:left="50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>-</w:t>
            </w:r>
            <w:r w:rsidR="00D54B71">
              <w:rPr>
                <w:rFonts w:ascii="Arial Narrow" w:hAnsi="Arial Narrow"/>
                <w:sz w:val="24"/>
                <w:szCs w:val="24"/>
                <w:lang w:val="sk-SK"/>
              </w:rPr>
              <w:t xml:space="preserve">  </w:t>
            </w: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>potvrdený „</w:t>
            </w:r>
            <w:r w:rsidRPr="009C0F1D">
              <w:rPr>
                <w:rFonts w:ascii="Arial Narrow" w:hAnsi="Arial Narrow"/>
                <w:b/>
                <w:sz w:val="24"/>
                <w:szCs w:val="24"/>
                <w:lang w:val="sk-SK"/>
              </w:rPr>
              <w:t>Výpis známok“,</w:t>
            </w: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 xml:space="preserve"> ktorý je súčasťou Zmluvy o štúdiu(časť 3)</w:t>
            </w:r>
          </w:p>
          <w:p w:rsidR="0024570A" w:rsidRPr="00D54B71" w:rsidRDefault="0024570A" w:rsidP="006425F0">
            <w:pPr>
              <w:tabs>
                <w:tab w:val="left" w:pos="567"/>
              </w:tabs>
              <w:suppressAutoHyphens/>
              <w:spacing w:line="240" w:lineRule="auto"/>
              <w:ind w:left="50"/>
              <w:jc w:val="both"/>
              <w:rPr>
                <w:sz w:val="24"/>
                <w:szCs w:val="24"/>
                <w:lang w:val="sk-SK"/>
              </w:rPr>
            </w:pP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 xml:space="preserve">- vyplniť a podať </w:t>
            </w:r>
            <w:r w:rsidRPr="00D54B71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správu študenta </w:t>
            </w: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>do celoeurópskej databázy (</w:t>
            </w:r>
            <w:r w:rsidRPr="00D54B71">
              <w:rPr>
                <w:rFonts w:ascii="Arial Narrow" w:hAnsi="Arial Narrow"/>
                <w:i/>
                <w:sz w:val="24"/>
                <w:szCs w:val="24"/>
                <w:lang w:val="sk-SK"/>
              </w:rPr>
              <w:t>tzv.</w:t>
            </w:r>
            <w:r w:rsidR="00B61B66" w:rsidRPr="00D54B71">
              <w:rPr>
                <w:rFonts w:ascii="Arial Narrow" w:hAnsi="Arial Narrow"/>
                <w:i/>
                <w:sz w:val="24"/>
                <w:szCs w:val="24"/>
                <w:lang w:val="sk-SK"/>
              </w:rPr>
              <w:t xml:space="preserve"> </w:t>
            </w:r>
            <w:r w:rsidRPr="00D54B71">
              <w:rPr>
                <w:rFonts w:ascii="Arial Narrow" w:hAnsi="Arial Narrow"/>
                <w:i/>
                <w:sz w:val="24"/>
                <w:szCs w:val="24"/>
                <w:lang w:val="sk-SK"/>
              </w:rPr>
              <w:t xml:space="preserve">systém   Mobility </w:t>
            </w:r>
            <w:proofErr w:type="spellStart"/>
            <w:r w:rsidRPr="00D54B71">
              <w:rPr>
                <w:rFonts w:ascii="Arial Narrow" w:hAnsi="Arial Narrow"/>
                <w:i/>
                <w:sz w:val="24"/>
                <w:szCs w:val="24"/>
                <w:lang w:val="sk-SK"/>
              </w:rPr>
              <w:t>Tool</w:t>
            </w:r>
            <w:proofErr w:type="spellEnd"/>
            <w:r w:rsidRPr="00D54B71">
              <w:rPr>
                <w:rFonts w:ascii="Arial Narrow" w:hAnsi="Arial Narrow"/>
                <w:i/>
                <w:sz w:val="24"/>
                <w:szCs w:val="24"/>
                <w:lang w:val="sk-SK"/>
              </w:rPr>
              <w:t>/EU</w:t>
            </w: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D54B71">
              <w:rPr>
                <w:rFonts w:ascii="Arial Narrow" w:hAnsi="Arial Narrow"/>
                <w:i/>
                <w:sz w:val="24"/>
                <w:szCs w:val="24"/>
                <w:lang w:val="sk-SK"/>
              </w:rPr>
              <w:t>Survey</w:t>
            </w:r>
            <w:proofErr w:type="spellEnd"/>
            <w:r w:rsidRPr="00D54B71">
              <w:rPr>
                <w:rFonts w:ascii="Arial Narrow" w:hAnsi="Arial Narrow"/>
                <w:i/>
                <w:sz w:val="24"/>
                <w:szCs w:val="24"/>
                <w:lang w:val="sk-SK"/>
              </w:rPr>
              <w:t xml:space="preserve">).  </w:t>
            </w: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>Pokyny k vyplneniu správy študent obdrží vo forme automatického  e-mailu  generovaného databázou  v deň, kedy podľa finančnej zmluvy končí mobil</w:t>
            </w:r>
            <w:r w:rsidR="00B61B66" w:rsidRPr="00D54B71">
              <w:rPr>
                <w:rFonts w:ascii="Arial Narrow" w:hAnsi="Arial Narrow"/>
                <w:sz w:val="24"/>
                <w:szCs w:val="24"/>
                <w:lang w:val="sk-SK"/>
              </w:rPr>
              <w:t>i</w:t>
            </w: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>ta v zahraničí.  Od účastníka, ktorý nevyplní a nepodá správu on-line a nepredloží dokumenty uvedené v</w:t>
            </w:r>
            <w:r w:rsidR="006D2555" w:rsidRPr="00D54B71">
              <w:rPr>
                <w:rFonts w:ascii="Arial Narrow" w:hAnsi="Arial Narrow"/>
                <w:sz w:val="24"/>
                <w:szCs w:val="24"/>
                <w:lang w:val="sk-SK"/>
              </w:rPr>
              <w:t> </w:t>
            </w: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>bode</w:t>
            </w:r>
            <w:r w:rsidR="006D2555" w:rsidRPr="00D54B71">
              <w:rPr>
                <w:rFonts w:ascii="Arial Narrow" w:hAnsi="Arial Narrow"/>
                <w:sz w:val="24"/>
                <w:szCs w:val="24"/>
                <w:lang w:val="sk-SK"/>
              </w:rPr>
              <w:t>,</w:t>
            </w:r>
            <w:r w:rsidRPr="00D54B71">
              <w:rPr>
                <w:rFonts w:ascii="Arial Narrow" w:hAnsi="Arial Narrow"/>
                <w:sz w:val="24"/>
                <w:szCs w:val="24"/>
                <w:lang w:val="sk-SK"/>
              </w:rPr>
              <w:t xml:space="preserve">  môže inštitúcia žiadať čiastočné alebo úplné vrátenie zaslanej finančnej podpory.            </w:t>
            </w:r>
          </w:p>
          <w:p w:rsidR="0024570A" w:rsidRPr="00D54B71" w:rsidRDefault="0024570A" w:rsidP="0024570A">
            <w:pPr>
              <w:tabs>
                <w:tab w:val="left" w:pos="567"/>
              </w:tabs>
              <w:ind w:left="567" w:hanging="567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</w:tc>
      </w:tr>
    </w:tbl>
    <w:p w:rsidR="000D79A8" w:rsidRPr="00D87D3D" w:rsidRDefault="000D79A8" w:rsidP="00023AB9">
      <w:pPr>
        <w:spacing w:line="240" w:lineRule="auto"/>
        <w:jc w:val="both"/>
        <w:rPr>
          <w:rFonts w:ascii="Times New Roman" w:hAnsi="Times New Roman"/>
        </w:rPr>
      </w:pPr>
    </w:p>
    <w:sectPr w:rsidR="000D79A8" w:rsidRPr="00D87D3D" w:rsidSect="007E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76E" w:rsidRDefault="00C6376E" w:rsidP="00861ACB">
      <w:pPr>
        <w:spacing w:line="240" w:lineRule="auto"/>
      </w:pPr>
      <w:r>
        <w:separator/>
      </w:r>
    </w:p>
  </w:endnote>
  <w:endnote w:type="continuationSeparator" w:id="0">
    <w:p w:rsidR="00C6376E" w:rsidRDefault="00C6376E" w:rsidP="00861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76E" w:rsidRDefault="00C6376E" w:rsidP="00861ACB">
      <w:pPr>
        <w:spacing w:line="240" w:lineRule="auto"/>
      </w:pPr>
      <w:r>
        <w:separator/>
      </w:r>
    </w:p>
  </w:footnote>
  <w:footnote w:type="continuationSeparator" w:id="0">
    <w:p w:rsidR="00C6376E" w:rsidRDefault="00C6376E" w:rsidP="00861A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7C0"/>
    <w:multiLevelType w:val="multilevel"/>
    <w:tmpl w:val="9A0066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C7CE9"/>
    <w:multiLevelType w:val="hybridMultilevel"/>
    <w:tmpl w:val="7C381080"/>
    <w:lvl w:ilvl="0" w:tplc="C74A172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2470"/>
    <w:multiLevelType w:val="hybridMultilevel"/>
    <w:tmpl w:val="1A14D894"/>
    <w:lvl w:ilvl="0" w:tplc="2A50CD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534DA"/>
    <w:multiLevelType w:val="hybridMultilevel"/>
    <w:tmpl w:val="90A47D76"/>
    <w:lvl w:ilvl="0" w:tplc="6980DB46">
      <w:start w:val="5"/>
      <w:numFmt w:val="bullet"/>
      <w:lvlText w:val="-"/>
      <w:lvlJc w:val="left"/>
      <w:pPr>
        <w:ind w:left="410" w:hanging="360"/>
      </w:pPr>
      <w:rPr>
        <w:rFonts w:ascii="Arial Narrow" w:eastAsia="Calibri" w:hAnsi="Arial Narrow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0BAC6BDA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21139E9"/>
    <w:multiLevelType w:val="multilevel"/>
    <w:tmpl w:val="9A0066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B2609"/>
    <w:multiLevelType w:val="hybridMultilevel"/>
    <w:tmpl w:val="81C02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C3590"/>
    <w:multiLevelType w:val="hybridMultilevel"/>
    <w:tmpl w:val="5AE6B42C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A8E5EF8"/>
    <w:multiLevelType w:val="hybridMultilevel"/>
    <w:tmpl w:val="81C02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F3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9857D3"/>
    <w:multiLevelType w:val="hybridMultilevel"/>
    <w:tmpl w:val="085C2E5A"/>
    <w:lvl w:ilvl="0" w:tplc="0CAC9BFA">
      <w:start w:val="2"/>
      <w:numFmt w:val="bullet"/>
      <w:lvlText w:val="-"/>
      <w:lvlJc w:val="left"/>
      <w:pPr>
        <w:ind w:left="76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C992A7B"/>
    <w:multiLevelType w:val="hybridMultilevel"/>
    <w:tmpl w:val="3140E172"/>
    <w:lvl w:ilvl="0" w:tplc="E17E59DE">
      <w:start w:val="5"/>
      <w:numFmt w:val="bullet"/>
      <w:lvlText w:val="-"/>
      <w:lvlJc w:val="left"/>
      <w:pPr>
        <w:ind w:left="410" w:hanging="360"/>
      </w:pPr>
      <w:rPr>
        <w:rFonts w:ascii="Arial Narrow" w:eastAsia="Calibri" w:hAnsi="Arial Narrow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310369F5"/>
    <w:multiLevelType w:val="hybridMultilevel"/>
    <w:tmpl w:val="81C02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0F2C"/>
    <w:multiLevelType w:val="hybridMultilevel"/>
    <w:tmpl w:val="88CEF2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C21F8"/>
    <w:multiLevelType w:val="multilevel"/>
    <w:tmpl w:val="9A0066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6366F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3886036"/>
    <w:multiLevelType w:val="multilevel"/>
    <w:tmpl w:val="9ADA4B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9E30F75"/>
    <w:multiLevelType w:val="hybridMultilevel"/>
    <w:tmpl w:val="7EA4F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34C86"/>
    <w:multiLevelType w:val="multilevel"/>
    <w:tmpl w:val="F21A59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F31A60"/>
    <w:multiLevelType w:val="multilevel"/>
    <w:tmpl w:val="9A0066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3FD3E10"/>
    <w:multiLevelType w:val="hybridMultilevel"/>
    <w:tmpl w:val="81C02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F1A11"/>
    <w:multiLevelType w:val="multilevel"/>
    <w:tmpl w:val="9A0066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7F0340A"/>
    <w:multiLevelType w:val="multilevel"/>
    <w:tmpl w:val="26C255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7FD33C1"/>
    <w:multiLevelType w:val="multilevel"/>
    <w:tmpl w:val="9A0066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DA558D"/>
    <w:multiLevelType w:val="multilevel"/>
    <w:tmpl w:val="9A0066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7D2500"/>
    <w:multiLevelType w:val="hybridMultilevel"/>
    <w:tmpl w:val="81C02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7207C"/>
    <w:multiLevelType w:val="multilevel"/>
    <w:tmpl w:val="B99C3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8AE7D78"/>
    <w:multiLevelType w:val="multilevel"/>
    <w:tmpl w:val="257AFE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5"/>
  </w:num>
  <w:num w:numId="5">
    <w:abstractNumId w:val="20"/>
  </w:num>
  <w:num w:numId="6">
    <w:abstractNumId w:val="8"/>
  </w:num>
  <w:num w:numId="7">
    <w:abstractNumId w:val="6"/>
  </w:num>
  <w:num w:numId="8">
    <w:abstractNumId w:val="25"/>
  </w:num>
  <w:num w:numId="9">
    <w:abstractNumId w:val="12"/>
  </w:num>
  <w:num w:numId="10">
    <w:abstractNumId w:val="19"/>
  </w:num>
  <w:num w:numId="11">
    <w:abstractNumId w:val="5"/>
  </w:num>
  <w:num w:numId="12">
    <w:abstractNumId w:val="13"/>
  </w:num>
  <w:num w:numId="13">
    <w:abstractNumId w:val="0"/>
  </w:num>
  <w:num w:numId="14">
    <w:abstractNumId w:val="14"/>
  </w:num>
  <w:num w:numId="15">
    <w:abstractNumId w:val="18"/>
  </w:num>
  <w:num w:numId="16">
    <w:abstractNumId w:val="16"/>
  </w:num>
  <w:num w:numId="17">
    <w:abstractNumId w:val="22"/>
  </w:num>
  <w:num w:numId="18">
    <w:abstractNumId w:val="26"/>
  </w:num>
  <w:num w:numId="19">
    <w:abstractNumId w:val="1"/>
  </w:num>
  <w:num w:numId="20">
    <w:abstractNumId w:val="27"/>
  </w:num>
  <w:num w:numId="21">
    <w:abstractNumId w:val="10"/>
  </w:num>
  <w:num w:numId="22">
    <w:abstractNumId w:val="2"/>
  </w:num>
  <w:num w:numId="23">
    <w:abstractNumId w:val="2"/>
  </w:num>
  <w:num w:numId="24">
    <w:abstractNumId w:val="24"/>
  </w:num>
  <w:num w:numId="25">
    <w:abstractNumId w:val="21"/>
  </w:num>
  <w:num w:numId="26">
    <w:abstractNumId w:val="23"/>
  </w:num>
  <w:num w:numId="27">
    <w:abstractNumId w:val="7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ED"/>
    <w:rsid w:val="00000733"/>
    <w:rsid w:val="000061C7"/>
    <w:rsid w:val="000070F0"/>
    <w:rsid w:val="00023AB9"/>
    <w:rsid w:val="000264A0"/>
    <w:rsid w:val="00030EDD"/>
    <w:rsid w:val="00033D14"/>
    <w:rsid w:val="0004455C"/>
    <w:rsid w:val="00052CE9"/>
    <w:rsid w:val="0005478C"/>
    <w:rsid w:val="00065050"/>
    <w:rsid w:val="00070176"/>
    <w:rsid w:val="00074500"/>
    <w:rsid w:val="000D79A8"/>
    <w:rsid w:val="000E121E"/>
    <w:rsid w:val="001007D7"/>
    <w:rsid w:val="00113C7F"/>
    <w:rsid w:val="001143F2"/>
    <w:rsid w:val="00122054"/>
    <w:rsid w:val="00132044"/>
    <w:rsid w:val="00147744"/>
    <w:rsid w:val="00154735"/>
    <w:rsid w:val="00156825"/>
    <w:rsid w:val="0016041F"/>
    <w:rsid w:val="001648B5"/>
    <w:rsid w:val="00165EEB"/>
    <w:rsid w:val="001661F3"/>
    <w:rsid w:val="00191767"/>
    <w:rsid w:val="00197CE8"/>
    <w:rsid w:val="001A05EA"/>
    <w:rsid w:val="001A14BE"/>
    <w:rsid w:val="001E0BDC"/>
    <w:rsid w:val="0020739D"/>
    <w:rsid w:val="002232C3"/>
    <w:rsid w:val="00233245"/>
    <w:rsid w:val="00242603"/>
    <w:rsid w:val="0024570A"/>
    <w:rsid w:val="00246DEE"/>
    <w:rsid w:val="002621AF"/>
    <w:rsid w:val="00295406"/>
    <w:rsid w:val="00297278"/>
    <w:rsid w:val="002B4E5B"/>
    <w:rsid w:val="002B5DE9"/>
    <w:rsid w:val="002D37F0"/>
    <w:rsid w:val="002D7092"/>
    <w:rsid w:val="0030537B"/>
    <w:rsid w:val="00307FDE"/>
    <w:rsid w:val="00325FD6"/>
    <w:rsid w:val="003409D0"/>
    <w:rsid w:val="003B0261"/>
    <w:rsid w:val="003B4F31"/>
    <w:rsid w:val="003B7209"/>
    <w:rsid w:val="003E2BF7"/>
    <w:rsid w:val="003E7E4A"/>
    <w:rsid w:val="003F33CA"/>
    <w:rsid w:val="003F6D25"/>
    <w:rsid w:val="003F777B"/>
    <w:rsid w:val="004442B3"/>
    <w:rsid w:val="00456782"/>
    <w:rsid w:val="00471859"/>
    <w:rsid w:val="00471A19"/>
    <w:rsid w:val="00480685"/>
    <w:rsid w:val="004A1B9C"/>
    <w:rsid w:val="004A48CD"/>
    <w:rsid w:val="004F0BE9"/>
    <w:rsid w:val="004F4875"/>
    <w:rsid w:val="005032FF"/>
    <w:rsid w:val="00525A36"/>
    <w:rsid w:val="005412D4"/>
    <w:rsid w:val="00557007"/>
    <w:rsid w:val="005607DE"/>
    <w:rsid w:val="00564DDC"/>
    <w:rsid w:val="0057123F"/>
    <w:rsid w:val="005778AF"/>
    <w:rsid w:val="00581B2F"/>
    <w:rsid w:val="005902E5"/>
    <w:rsid w:val="00594A1B"/>
    <w:rsid w:val="005A08E1"/>
    <w:rsid w:val="005A5109"/>
    <w:rsid w:val="005C13D9"/>
    <w:rsid w:val="005C1933"/>
    <w:rsid w:val="005C7784"/>
    <w:rsid w:val="00601A31"/>
    <w:rsid w:val="006064F2"/>
    <w:rsid w:val="0060727B"/>
    <w:rsid w:val="00625CD2"/>
    <w:rsid w:val="00626E01"/>
    <w:rsid w:val="006425F0"/>
    <w:rsid w:val="00644BCC"/>
    <w:rsid w:val="0064576A"/>
    <w:rsid w:val="006750E4"/>
    <w:rsid w:val="0068428D"/>
    <w:rsid w:val="006C05A7"/>
    <w:rsid w:val="006C7850"/>
    <w:rsid w:val="006D10C8"/>
    <w:rsid w:val="006D1BB1"/>
    <w:rsid w:val="006D2555"/>
    <w:rsid w:val="006D76D2"/>
    <w:rsid w:val="006F6568"/>
    <w:rsid w:val="006F715A"/>
    <w:rsid w:val="00703F60"/>
    <w:rsid w:val="00710884"/>
    <w:rsid w:val="00723F04"/>
    <w:rsid w:val="007419F1"/>
    <w:rsid w:val="007E4DC6"/>
    <w:rsid w:val="007F13FF"/>
    <w:rsid w:val="007F2F75"/>
    <w:rsid w:val="0083130B"/>
    <w:rsid w:val="0083225D"/>
    <w:rsid w:val="00857E56"/>
    <w:rsid w:val="00861ACB"/>
    <w:rsid w:val="00867362"/>
    <w:rsid w:val="00875167"/>
    <w:rsid w:val="0089715C"/>
    <w:rsid w:val="008A0900"/>
    <w:rsid w:val="008B0858"/>
    <w:rsid w:val="008C1B02"/>
    <w:rsid w:val="008C7F86"/>
    <w:rsid w:val="008D4AED"/>
    <w:rsid w:val="008F1113"/>
    <w:rsid w:val="008F430C"/>
    <w:rsid w:val="00902CCF"/>
    <w:rsid w:val="00904327"/>
    <w:rsid w:val="00933513"/>
    <w:rsid w:val="00935A5C"/>
    <w:rsid w:val="009666C1"/>
    <w:rsid w:val="009833A4"/>
    <w:rsid w:val="009A1D71"/>
    <w:rsid w:val="009A53AE"/>
    <w:rsid w:val="009C0F1D"/>
    <w:rsid w:val="009F2DB1"/>
    <w:rsid w:val="009F3404"/>
    <w:rsid w:val="009F6456"/>
    <w:rsid w:val="00A05BD7"/>
    <w:rsid w:val="00A15F61"/>
    <w:rsid w:val="00A203D3"/>
    <w:rsid w:val="00A44244"/>
    <w:rsid w:val="00A652C6"/>
    <w:rsid w:val="00A76E8C"/>
    <w:rsid w:val="00A7733A"/>
    <w:rsid w:val="00A80EBF"/>
    <w:rsid w:val="00A81B0E"/>
    <w:rsid w:val="00A96262"/>
    <w:rsid w:val="00A96B8C"/>
    <w:rsid w:val="00AA0551"/>
    <w:rsid w:val="00AA21FD"/>
    <w:rsid w:val="00AB4621"/>
    <w:rsid w:val="00AB6D4C"/>
    <w:rsid w:val="00AB7146"/>
    <w:rsid w:val="00AC12F4"/>
    <w:rsid w:val="00AC5A4F"/>
    <w:rsid w:val="00AD22B9"/>
    <w:rsid w:val="00AE1DEB"/>
    <w:rsid w:val="00AF384C"/>
    <w:rsid w:val="00B00DD5"/>
    <w:rsid w:val="00B06895"/>
    <w:rsid w:val="00B14BD1"/>
    <w:rsid w:val="00B27C51"/>
    <w:rsid w:val="00B37FBF"/>
    <w:rsid w:val="00B459C4"/>
    <w:rsid w:val="00B61B66"/>
    <w:rsid w:val="00B62527"/>
    <w:rsid w:val="00B67009"/>
    <w:rsid w:val="00B71C53"/>
    <w:rsid w:val="00B71CE6"/>
    <w:rsid w:val="00B71FAD"/>
    <w:rsid w:val="00B914D4"/>
    <w:rsid w:val="00BD0034"/>
    <w:rsid w:val="00BF486F"/>
    <w:rsid w:val="00C02288"/>
    <w:rsid w:val="00C03E94"/>
    <w:rsid w:val="00C146AA"/>
    <w:rsid w:val="00C150ED"/>
    <w:rsid w:val="00C54B12"/>
    <w:rsid w:val="00C6376E"/>
    <w:rsid w:val="00C90971"/>
    <w:rsid w:val="00C97BEB"/>
    <w:rsid w:val="00CB4B1A"/>
    <w:rsid w:val="00CC1C28"/>
    <w:rsid w:val="00CC379E"/>
    <w:rsid w:val="00CE1842"/>
    <w:rsid w:val="00CE6C59"/>
    <w:rsid w:val="00CF55B6"/>
    <w:rsid w:val="00D1058A"/>
    <w:rsid w:val="00D54B71"/>
    <w:rsid w:val="00D66A08"/>
    <w:rsid w:val="00D87D3D"/>
    <w:rsid w:val="00DB3517"/>
    <w:rsid w:val="00DB407A"/>
    <w:rsid w:val="00E17B6C"/>
    <w:rsid w:val="00E229EE"/>
    <w:rsid w:val="00E267D5"/>
    <w:rsid w:val="00E31525"/>
    <w:rsid w:val="00E349BF"/>
    <w:rsid w:val="00E429A4"/>
    <w:rsid w:val="00E44971"/>
    <w:rsid w:val="00E46EFE"/>
    <w:rsid w:val="00E52420"/>
    <w:rsid w:val="00E81AF3"/>
    <w:rsid w:val="00EA2BE6"/>
    <w:rsid w:val="00EB0688"/>
    <w:rsid w:val="00EB2FAF"/>
    <w:rsid w:val="00EC2A6D"/>
    <w:rsid w:val="00ED3D73"/>
    <w:rsid w:val="00EE57A6"/>
    <w:rsid w:val="00EE6519"/>
    <w:rsid w:val="00F02653"/>
    <w:rsid w:val="00F25720"/>
    <w:rsid w:val="00F3675D"/>
    <w:rsid w:val="00F54821"/>
    <w:rsid w:val="00F61DF7"/>
    <w:rsid w:val="00F63843"/>
    <w:rsid w:val="00F7055E"/>
    <w:rsid w:val="00F7413E"/>
    <w:rsid w:val="00F832AD"/>
    <w:rsid w:val="00F9530B"/>
    <w:rsid w:val="00FD6D8C"/>
    <w:rsid w:val="00FE02AD"/>
    <w:rsid w:val="00FE207D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D8FD2-ACAC-4273-B296-8E2217D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E4DC6"/>
    <w:pPr>
      <w:spacing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1A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61AC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61AC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61ACB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nhideWhenUsed/>
    <w:rsid w:val="00197CE8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197CE8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197CE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6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264A0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unhideWhenUsed/>
    <w:rsid w:val="00E349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52CE9"/>
    <w:pPr>
      <w:ind w:left="708"/>
    </w:pPr>
  </w:style>
  <w:style w:type="character" w:customStyle="1" w:styleId="hps">
    <w:name w:val="hps"/>
    <w:rsid w:val="003E2BF7"/>
  </w:style>
  <w:style w:type="paragraph" w:styleId="Textvysvetlivky">
    <w:name w:val="endnote text"/>
    <w:basedOn w:val="Normlny"/>
    <w:link w:val="TextvysvetlivkyChar"/>
    <w:unhideWhenUsed/>
    <w:rsid w:val="00CE1842"/>
    <w:pPr>
      <w:spacing w:after="200"/>
    </w:pPr>
    <w:rPr>
      <w:sz w:val="20"/>
      <w:szCs w:val="20"/>
      <w:lang w:val="x-none"/>
    </w:rPr>
  </w:style>
  <w:style w:type="character" w:customStyle="1" w:styleId="TextvysvetlivkyChar">
    <w:name w:val="Text vysvetlivky Char"/>
    <w:link w:val="Textvysvetlivky"/>
    <w:uiPriority w:val="99"/>
    <w:rsid w:val="00CE1842"/>
    <w:rPr>
      <w:lang w:val="x-none" w:eastAsia="en-US"/>
    </w:rPr>
  </w:style>
  <w:style w:type="character" w:styleId="Odkaznavysvetlivku">
    <w:name w:val="endnote reference"/>
    <w:unhideWhenUsed/>
    <w:rsid w:val="00CE1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4818</Characters>
  <Application>Microsoft Office Word</Application>
  <DocSecurity>2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KVALIFIKAČNÍ PODMÍNKY PROGRAMU ERASMUS PRO STUDIJNÍ POBYTY</vt:lpstr>
      <vt:lpstr>KVALIFIKAČNÍ PODMÍNKY PROGRAMU ERASMUS PRO STUDIJNÍ POBYTY</vt:lpstr>
    </vt:vector>
  </TitlesOfParts>
  <Company>Univerzita Palackého v Olomouci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KVALIFIKAČNÍ PODMÍNKY PROGRAMU ERASMUS PRO STUDIJNÍ POBYTY</dc:title>
  <dc:subject/>
  <dc:creator>Andrea Klapuchová</dc:creator>
  <cp:keywords/>
  <cp:lastModifiedBy>Filipová Eva</cp:lastModifiedBy>
  <cp:revision>3</cp:revision>
  <cp:lastPrinted>2018-01-22T11:51:00Z</cp:lastPrinted>
  <dcterms:created xsi:type="dcterms:W3CDTF">2019-11-07T10:47:00Z</dcterms:created>
  <dcterms:modified xsi:type="dcterms:W3CDTF">2019-11-07T10:51:00Z</dcterms:modified>
</cp:coreProperties>
</file>