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B6929" w14:textId="77777777" w:rsidR="008F2C48" w:rsidRDefault="008F2C48" w:rsidP="00481D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4DE1C51" w14:textId="77777777" w:rsidR="008F2C48" w:rsidRDefault="008F2C48" w:rsidP="008F2C48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center"/>
        <w:rPr>
          <w:sz w:val="24"/>
        </w:rPr>
      </w:pPr>
      <w:bookmarkStart w:id="0" w:name="_Hlk163219022"/>
      <w:bookmarkStart w:id="1" w:name="_Hlk163219021"/>
      <w:r>
        <w:rPr>
          <w:caps/>
          <w:sz w:val="24"/>
        </w:rPr>
        <w:t>UTV PRI Trnavskej univerzite</w:t>
      </w:r>
      <w:r>
        <w:rPr>
          <w:sz w:val="24"/>
        </w:rPr>
        <w:t xml:space="preserve"> - Učebný plán</w:t>
      </w:r>
      <w:bookmarkEnd w:id="0"/>
      <w:bookmarkEnd w:id="1"/>
    </w:p>
    <w:p w14:paraId="74D66823" w14:textId="77777777" w:rsidR="00AD3E4D" w:rsidRDefault="00AD3E4D" w:rsidP="00481D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770553F" w14:textId="32B56AFE" w:rsidR="00481DC9" w:rsidRPr="00F35F10" w:rsidRDefault="00481DC9" w:rsidP="00481D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35F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Univerzita tretieho veku – </w:t>
      </w:r>
      <w:r w:rsidR="00EC2D9F" w:rsidRPr="00F35F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AK. ROK 2024/2025</w:t>
      </w:r>
    </w:p>
    <w:p w14:paraId="21D14CDA" w14:textId="77777777" w:rsidR="00481DC9" w:rsidRPr="00F35F10" w:rsidRDefault="00481DC9" w:rsidP="00481D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3DCBE9B" w14:textId="4B282529" w:rsidR="00481DC9" w:rsidRPr="00F35F10" w:rsidRDefault="00481DC9" w:rsidP="00481D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F10">
        <w:rPr>
          <w:rFonts w:ascii="Times New Roman" w:hAnsi="Times New Roman" w:cs="Times New Roman"/>
          <w:sz w:val="24"/>
          <w:szCs w:val="24"/>
        </w:rPr>
        <w:t>Katedra</w:t>
      </w:r>
      <w:r w:rsidR="00C72332" w:rsidRPr="00F35F10">
        <w:rPr>
          <w:rFonts w:ascii="Times New Roman" w:hAnsi="Times New Roman" w:cs="Times New Roman"/>
          <w:sz w:val="24"/>
          <w:szCs w:val="24"/>
        </w:rPr>
        <w:t xml:space="preserve"> medzinárodného p</w:t>
      </w:r>
      <w:r w:rsidRPr="00F35F10">
        <w:rPr>
          <w:rFonts w:ascii="Times New Roman" w:hAnsi="Times New Roman" w:cs="Times New Roman"/>
          <w:sz w:val="24"/>
          <w:szCs w:val="24"/>
        </w:rPr>
        <w:t>ráva a európskeho práva PF TU</w:t>
      </w:r>
    </w:p>
    <w:p w14:paraId="04FFD61E" w14:textId="2F2575E2" w:rsidR="00C72332" w:rsidRPr="00F35F10" w:rsidRDefault="00481DC9" w:rsidP="00481D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F10">
        <w:rPr>
          <w:rFonts w:ascii="Times New Roman" w:hAnsi="Times New Roman" w:cs="Times New Roman"/>
          <w:sz w:val="24"/>
          <w:szCs w:val="24"/>
        </w:rPr>
        <w:t>a Ústav</w:t>
      </w:r>
      <w:r w:rsidR="00C72332" w:rsidRPr="00F35F10">
        <w:rPr>
          <w:rFonts w:ascii="Times New Roman" w:hAnsi="Times New Roman" w:cs="Times New Roman"/>
          <w:sz w:val="24"/>
          <w:szCs w:val="24"/>
        </w:rPr>
        <w:t xml:space="preserve"> pre právne otázky náboženskej slobody</w:t>
      </w:r>
      <w:r w:rsidRPr="00F35F10">
        <w:rPr>
          <w:rFonts w:ascii="Times New Roman" w:hAnsi="Times New Roman" w:cs="Times New Roman"/>
          <w:sz w:val="24"/>
          <w:szCs w:val="24"/>
        </w:rPr>
        <w:t xml:space="preserve"> PF TU</w:t>
      </w:r>
    </w:p>
    <w:p w14:paraId="65C5E056" w14:textId="77777777" w:rsidR="00B346AD" w:rsidRPr="00F35F10" w:rsidRDefault="00B346AD" w:rsidP="007336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3C4038" w14:textId="7070AC11" w:rsidR="00B346AD" w:rsidRDefault="00AB5767" w:rsidP="00AB576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B5767">
        <w:rPr>
          <w:rFonts w:ascii="Times New Roman" w:hAnsi="Times New Roman" w:cs="Times New Roman"/>
          <w:b/>
          <w:bCs/>
          <w:sz w:val="24"/>
          <w:szCs w:val="24"/>
        </w:rPr>
        <w:t xml:space="preserve">Vzdelávací program: </w:t>
      </w:r>
      <w:r w:rsidR="00412AB5" w:rsidRPr="00AB5767">
        <w:rPr>
          <w:rFonts w:ascii="Times New Roman" w:hAnsi="Times New Roman" w:cs="Times New Roman"/>
          <w:b/>
          <w:bCs/>
          <w:sz w:val="28"/>
          <w:szCs w:val="28"/>
        </w:rPr>
        <w:t>Ochrana práv jednotlivca v m</w:t>
      </w:r>
      <w:r w:rsidR="00B346AD" w:rsidRPr="00AB5767">
        <w:rPr>
          <w:rFonts w:ascii="Times New Roman" w:hAnsi="Times New Roman" w:cs="Times New Roman"/>
          <w:b/>
          <w:bCs/>
          <w:sz w:val="28"/>
          <w:szCs w:val="28"/>
        </w:rPr>
        <w:t>edzinárodno</w:t>
      </w:r>
      <w:r w:rsidR="00412AB5" w:rsidRPr="00AB5767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B346AD" w:rsidRPr="00AB5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D85F559" w14:textId="0661CE4C" w:rsidR="00AB5767" w:rsidRDefault="00AB5767" w:rsidP="00AB576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a európskom práve</w:t>
      </w:r>
    </w:p>
    <w:p w14:paraId="7133E537" w14:textId="77777777" w:rsidR="00AB5767" w:rsidRPr="00AB5767" w:rsidRDefault="00AB5767" w:rsidP="00AB576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GoBack"/>
      <w:bookmarkEnd w:id="2"/>
    </w:p>
    <w:p w14:paraId="4E2ACA7B" w14:textId="16D15CFA" w:rsidR="00481DC9" w:rsidRPr="00F35F10" w:rsidRDefault="00CA6064" w:rsidP="00481D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(jednoročný vzdelávací program)</w:t>
      </w:r>
    </w:p>
    <w:p w14:paraId="26B8F2D5" w14:textId="41749F96" w:rsidR="008D3BCA" w:rsidRPr="00F35F10" w:rsidRDefault="008D3BCA" w:rsidP="0073363B">
      <w:pPr>
        <w:jc w:val="both"/>
        <w:rPr>
          <w:rFonts w:ascii="Times New Roman" w:hAnsi="Times New Roman" w:cs="Times New Roman"/>
          <w:sz w:val="24"/>
          <w:szCs w:val="24"/>
        </w:rPr>
      </w:pPr>
      <w:r w:rsidRPr="00F35F10">
        <w:rPr>
          <w:rFonts w:ascii="Times New Roman" w:hAnsi="Times New Roman" w:cs="Times New Roman"/>
          <w:sz w:val="24"/>
          <w:szCs w:val="24"/>
        </w:rPr>
        <w:t xml:space="preserve">Okruh tém v kontexte ochrany práv jednotlivca podľa noriem medzinárodného práva verejného zahŕňa </w:t>
      </w:r>
      <w:r w:rsidR="00F74945" w:rsidRPr="00F35F10">
        <w:rPr>
          <w:rFonts w:ascii="Times New Roman" w:hAnsi="Times New Roman" w:cs="Times New Roman"/>
          <w:sz w:val="24"/>
          <w:szCs w:val="24"/>
        </w:rPr>
        <w:t xml:space="preserve">primárne </w:t>
      </w:r>
      <w:r w:rsidRPr="00F35F10">
        <w:rPr>
          <w:rFonts w:ascii="Times New Roman" w:hAnsi="Times New Roman" w:cs="Times New Roman"/>
          <w:sz w:val="24"/>
          <w:szCs w:val="24"/>
        </w:rPr>
        <w:t xml:space="preserve">pohľad na vývoj a súčasnú podobu medzinárodnoprávnej ochrany ľudských práv na univerzálnej úrovni v rámci Organizácie </w:t>
      </w:r>
      <w:r w:rsidR="00F74945" w:rsidRPr="00F35F10">
        <w:rPr>
          <w:rFonts w:ascii="Times New Roman" w:hAnsi="Times New Roman" w:cs="Times New Roman"/>
          <w:sz w:val="24"/>
          <w:szCs w:val="24"/>
        </w:rPr>
        <w:t>S</w:t>
      </w:r>
      <w:r w:rsidRPr="00F35F10">
        <w:rPr>
          <w:rFonts w:ascii="Times New Roman" w:hAnsi="Times New Roman" w:cs="Times New Roman"/>
          <w:sz w:val="24"/>
          <w:szCs w:val="24"/>
        </w:rPr>
        <w:t>pojených národov</w:t>
      </w:r>
      <w:r w:rsidR="00F74945" w:rsidRPr="00F35F10">
        <w:rPr>
          <w:rFonts w:ascii="Times New Roman" w:hAnsi="Times New Roman" w:cs="Times New Roman"/>
          <w:sz w:val="24"/>
          <w:szCs w:val="24"/>
        </w:rPr>
        <w:t xml:space="preserve"> a k nej pridružených medzinárodných organizácií </w:t>
      </w:r>
      <w:r w:rsidRPr="00F35F10">
        <w:rPr>
          <w:rFonts w:ascii="Times New Roman" w:hAnsi="Times New Roman" w:cs="Times New Roman"/>
          <w:sz w:val="24"/>
          <w:szCs w:val="24"/>
        </w:rPr>
        <w:t xml:space="preserve"> </w:t>
      </w:r>
      <w:r w:rsidR="00F74945" w:rsidRPr="00F35F10">
        <w:rPr>
          <w:rFonts w:ascii="Times New Roman" w:hAnsi="Times New Roman" w:cs="Times New Roman"/>
          <w:sz w:val="24"/>
          <w:szCs w:val="24"/>
        </w:rPr>
        <w:t>ako aj na regionálnej úrovni v rámci Rady Európy, Európskej únie, Organizácie pre bezpečnosť a spoluprácu v Európe, Africkej únie, Organizácie amerických štátov a iných regionálnych medzinárodných organizácií. Prehľad tém z oblasti ochrany práv jednotlivca podľa noriem medzinárodného práva verejného dopĺňajú pohľady na niektoré špecializované problematiky ako sú ľudské práva druhej generácie (sociálne práva) alebo vybrané ľudské práva tretej generácie</w:t>
      </w:r>
      <w:r w:rsidR="00E129D2" w:rsidRPr="00F35F10">
        <w:rPr>
          <w:rFonts w:ascii="Times New Roman" w:hAnsi="Times New Roman" w:cs="Times New Roman"/>
          <w:sz w:val="24"/>
          <w:szCs w:val="24"/>
        </w:rPr>
        <w:t xml:space="preserve"> (právo národov na sebaurčenie či ľudské environmentálne práva)</w:t>
      </w:r>
      <w:r w:rsidR="007B0D6E" w:rsidRPr="00F35F10">
        <w:rPr>
          <w:rFonts w:ascii="Times New Roman" w:hAnsi="Times New Roman" w:cs="Times New Roman"/>
          <w:sz w:val="24"/>
          <w:szCs w:val="24"/>
        </w:rPr>
        <w:t>.</w:t>
      </w:r>
      <w:r w:rsidR="00F74945" w:rsidRPr="00F35F1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978A3A5" w14:textId="2DCCD94C" w:rsidR="00412AB5" w:rsidRPr="00F35F10" w:rsidRDefault="00412AB5" w:rsidP="0073363B">
      <w:pPr>
        <w:jc w:val="both"/>
        <w:rPr>
          <w:rFonts w:ascii="Times New Roman" w:hAnsi="Times New Roman" w:cs="Times New Roman"/>
          <w:sz w:val="24"/>
          <w:szCs w:val="24"/>
        </w:rPr>
      </w:pPr>
      <w:r w:rsidRPr="00F35F10">
        <w:rPr>
          <w:rFonts w:ascii="Times New Roman" w:hAnsi="Times New Roman" w:cs="Times New Roman"/>
          <w:sz w:val="24"/>
          <w:szCs w:val="24"/>
        </w:rPr>
        <w:t xml:space="preserve">Okruh tém z práva Európskej únie sa venuje ochrane ľudských práv v práve Európskej únie, ktorá dnes disponuje vlastným katalógom ochrany ľudských práv, ktorým je Charta základných práv EÚ. Poukazuje na postavenie Európskeho dohovoru o ochrane ľudských práv a základných slobôd, ku ktorému má EÚ pristúpiť. Súčasťou ochrany ľudských práv je komplexná právna úprava rovnakého zaobchádzania, ktorá požaduje zákaz diskriminácie z vymedzených dôvodov.  Ďalší okruh z oblasti práva EÚ sa týka aktuálnej problematike práva na ochranu osobných údajov, najmä v kontexte prijatia všeobecného nariadenia o ochrane osobných údajov (GDPR), ktoré prináša nový, najmä harmonizovaný, pohľad na ochranu osobných údajov v členských štátoch EÚ. </w:t>
      </w:r>
    </w:p>
    <w:p w14:paraId="542AE228" w14:textId="312F6346" w:rsidR="00B346AD" w:rsidRPr="00F35F10" w:rsidRDefault="00EC2D9F" w:rsidP="007336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F10">
        <w:rPr>
          <w:rFonts w:ascii="Times New Roman" w:hAnsi="Times New Roman" w:cs="Times New Roman"/>
          <w:b/>
          <w:bCs/>
          <w:sz w:val="24"/>
          <w:szCs w:val="24"/>
        </w:rPr>
        <w:t>Vyučujúci:</w:t>
      </w:r>
    </w:p>
    <w:p w14:paraId="6049046D" w14:textId="15C4A0D7" w:rsidR="00EC2D9F" w:rsidRPr="00F35F10" w:rsidRDefault="00EC2D9F" w:rsidP="00EC2D9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F10">
        <w:rPr>
          <w:rFonts w:ascii="Times New Roman" w:hAnsi="Times New Roman" w:cs="Times New Roman"/>
          <w:i/>
          <w:iCs/>
          <w:sz w:val="24"/>
          <w:szCs w:val="24"/>
        </w:rPr>
        <w:t xml:space="preserve">doc. JUDr. Dagmar </w:t>
      </w:r>
      <w:proofErr w:type="spellStart"/>
      <w:r w:rsidRPr="00F35F10">
        <w:rPr>
          <w:rFonts w:ascii="Times New Roman" w:hAnsi="Times New Roman" w:cs="Times New Roman"/>
          <w:i/>
          <w:iCs/>
          <w:sz w:val="24"/>
          <w:szCs w:val="24"/>
        </w:rPr>
        <w:t>Lantajová</w:t>
      </w:r>
      <w:proofErr w:type="spellEnd"/>
      <w:r w:rsidRPr="00F35F10">
        <w:rPr>
          <w:rFonts w:ascii="Times New Roman" w:hAnsi="Times New Roman" w:cs="Times New Roman"/>
          <w:i/>
          <w:iCs/>
          <w:sz w:val="24"/>
          <w:szCs w:val="24"/>
        </w:rPr>
        <w:t>, PhD.</w:t>
      </w:r>
    </w:p>
    <w:p w14:paraId="5A4FA895" w14:textId="75CD951B" w:rsidR="00EC2D9F" w:rsidRPr="00F35F10" w:rsidRDefault="00EC2D9F" w:rsidP="00EC2D9F">
      <w:pPr>
        <w:spacing w:after="0" w:line="240" w:lineRule="auto"/>
        <w:contextualSpacing/>
        <w:jc w:val="both"/>
        <w:rPr>
          <w:rStyle w:val="Vrazn"/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proofErr w:type="spellStart"/>
      <w:r w:rsidRPr="00F35F10">
        <w:rPr>
          <w:rStyle w:val="Vrazn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ThLic</w:t>
      </w:r>
      <w:proofErr w:type="spellEnd"/>
      <w:r w:rsidRPr="00F35F10">
        <w:rPr>
          <w:rStyle w:val="Vrazn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. Mgr. Michaela Moravčíková, </w:t>
      </w:r>
      <w:proofErr w:type="spellStart"/>
      <w:r w:rsidRPr="00F35F10">
        <w:rPr>
          <w:rStyle w:val="Vrazn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Th.D</w:t>
      </w:r>
      <w:proofErr w:type="spellEnd"/>
      <w:r w:rsidRPr="00F35F10">
        <w:rPr>
          <w:rStyle w:val="Vrazn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</w:t>
      </w:r>
    </w:p>
    <w:p w14:paraId="2FD28B6A" w14:textId="5B9BC2D1" w:rsidR="00EC2D9F" w:rsidRPr="00F35F10" w:rsidRDefault="00EC2D9F" w:rsidP="00EC2D9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F10">
        <w:rPr>
          <w:rFonts w:ascii="Times New Roman" w:hAnsi="Times New Roman" w:cs="Times New Roman"/>
          <w:i/>
          <w:iCs/>
          <w:sz w:val="24"/>
          <w:szCs w:val="24"/>
        </w:rPr>
        <w:t>doc. JUDr. Peter Varga, PhD.</w:t>
      </w:r>
    </w:p>
    <w:p w14:paraId="094C1E50" w14:textId="2B9550EB" w:rsidR="00EC2D9F" w:rsidRPr="00F35F10" w:rsidRDefault="00EC2D9F" w:rsidP="00EC2D9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F10">
        <w:rPr>
          <w:rFonts w:ascii="Times New Roman" w:hAnsi="Times New Roman" w:cs="Times New Roman"/>
          <w:i/>
          <w:iCs/>
          <w:sz w:val="24"/>
          <w:szCs w:val="24"/>
        </w:rPr>
        <w:t>doc. JUDr. Viktor Križan, PhD.</w:t>
      </w:r>
    </w:p>
    <w:p w14:paraId="401280AC" w14:textId="29F29423" w:rsidR="00EC2D9F" w:rsidRPr="00F35F10" w:rsidRDefault="00EC2D9F" w:rsidP="00EC2D9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F10">
        <w:rPr>
          <w:rFonts w:ascii="Times New Roman" w:hAnsi="Times New Roman" w:cs="Times New Roman"/>
          <w:i/>
          <w:iCs/>
          <w:sz w:val="24"/>
          <w:szCs w:val="24"/>
        </w:rPr>
        <w:t xml:space="preserve">JUDr. Metod  </w:t>
      </w:r>
      <w:proofErr w:type="spellStart"/>
      <w:r w:rsidRPr="00F35F10">
        <w:rPr>
          <w:rFonts w:ascii="Times New Roman" w:hAnsi="Times New Roman" w:cs="Times New Roman"/>
          <w:i/>
          <w:iCs/>
          <w:sz w:val="24"/>
          <w:szCs w:val="24"/>
        </w:rPr>
        <w:t>Špaček</w:t>
      </w:r>
      <w:proofErr w:type="spellEnd"/>
      <w:r w:rsidRPr="00F35F10">
        <w:rPr>
          <w:rFonts w:ascii="Times New Roman" w:hAnsi="Times New Roman" w:cs="Times New Roman"/>
          <w:i/>
          <w:iCs/>
          <w:sz w:val="24"/>
          <w:szCs w:val="24"/>
        </w:rPr>
        <w:t xml:space="preserve">, PhD.  </w:t>
      </w:r>
    </w:p>
    <w:p w14:paraId="0FF6E82E" w14:textId="1210E0B9" w:rsidR="00EC2D9F" w:rsidRPr="00F35F10" w:rsidRDefault="00EC2D9F" w:rsidP="00EC2D9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F10">
        <w:rPr>
          <w:rFonts w:ascii="Times New Roman" w:hAnsi="Times New Roman" w:cs="Times New Roman"/>
          <w:i/>
          <w:iCs/>
          <w:sz w:val="24"/>
          <w:szCs w:val="24"/>
        </w:rPr>
        <w:t>Dr. h. c. prof. doc. JUDr. Marek Šmid, PhD.</w:t>
      </w:r>
    </w:p>
    <w:p w14:paraId="7CC00364" w14:textId="618BA5CE" w:rsidR="00EC2D9F" w:rsidRPr="00F35F10" w:rsidRDefault="00EC2D9F" w:rsidP="00EC2D9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F10">
        <w:rPr>
          <w:rFonts w:ascii="Times New Roman" w:hAnsi="Times New Roman" w:cs="Times New Roman"/>
          <w:i/>
          <w:iCs/>
          <w:sz w:val="24"/>
          <w:szCs w:val="24"/>
        </w:rPr>
        <w:t xml:space="preserve">JUDr. Miroslava </w:t>
      </w:r>
      <w:proofErr w:type="spellStart"/>
      <w:r w:rsidRPr="00F35F10">
        <w:rPr>
          <w:rFonts w:ascii="Times New Roman" w:hAnsi="Times New Roman" w:cs="Times New Roman"/>
          <w:i/>
          <w:iCs/>
          <w:sz w:val="24"/>
          <w:szCs w:val="24"/>
        </w:rPr>
        <w:t>Mittelmannová</w:t>
      </w:r>
      <w:proofErr w:type="spellEnd"/>
    </w:p>
    <w:p w14:paraId="4429C85C" w14:textId="5F6FADDC" w:rsidR="00EC2D9F" w:rsidRPr="00F35F10" w:rsidRDefault="00EC2D9F" w:rsidP="00EC2D9F">
      <w:pPr>
        <w:spacing w:after="0" w:line="240" w:lineRule="auto"/>
        <w:contextualSpacing/>
        <w:jc w:val="both"/>
        <w:rPr>
          <w:rStyle w:val="Vrazn"/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F35F10">
        <w:rPr>
          <w:rStyle w:val="Vrazn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JUDr. Marcel </w:t>
      </w:r>
      <w:proofErr w:type="spellStart"/>
      <w:r w:rsidRPr="00F35F10">
        <w:rPr>
          <w:rStyle w:val="Vrazn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Vysocký</w:t>
      </w:r>
      <w:proofErr w:type="spellEnd"/>
      <w:r w:rsidRPr="00F35F10">
        <w:rPr>
          <w:rStyle w:val="Vrazn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, PhD.</w:t>
      </w:r>
    </w:p>
    <w:p w14:paraId="0B96549C" w14:textId="2F1FA828" w:rsidR="00EC2D9F" w:rsidRPr="00F35F10" w:rsidRDefault="00EC2D9F" w:rsidP="00EC2D9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F10">
        <w:rPr>
          <w:rStyle w:val="Vrazn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JUDr. Ing. Dominika </w:t>
      </w:r>
      <w:proofErr w:type="spellStart"/>
      <w:r w:rsidRPr="00F35F10">
        <w:rPr>
          <w:rStyle w:val="Vrazn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Moravcová</w:t>
      </w:r>
      <w:proofErr w:type="spellEnd"/>
      <w:r w:rsidRPr="00F35F10">
        <w:rPr>
          <w:rStyle w:val="Vrazn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, MBA</w:t>
      </w:r>
    </w:p>
    <w:p w14:paraId="3475E6D9" w14:textId="77777777" w:rsidR="00EC2D9F" w:rsidRPr="00F35F10" w:rsidRDefault="00EC2D9F" w:rsidP="007336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C79CB" w14:textId="77777777" w:rsidR="00B346AD" w:rsidRPr="00F35F10" w:rsidRDefault="00B346AD" w:rsidP="007336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F10">
        <w:rPr>
          <w:rFonts w:ascii="Times New Roman" w:hAnsi="Times New Roman" w:cs="Times New Roman"/>
          <w:b/>
          <w:bCs/>
          <w:sz w:val="24"/>
          <w:szCs w:val="24"/>
        </w:rPr>
        <w:t>Zimný semester:</w:t>
      </w:r>
    </w:p>
    <w:p w14:paraId="714930C4" w14:textId="4EB2443E" w:rsidR="00412AB5" w:rsidRPr="00F35F10" w:rsidRDefault="00412AB5" w:rsidP="0073363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5F10">
        <w:rPr>
          <w:rFonts w:ascii="Times New Roman" w:hAnsi="Times New Roman" w:cs="Times New Roman"/>
          <w:b/>
          <w:bCs/>
          <w:sz w:val="24"/>
          <w:szCs w:val="24"/>
        </w:rPr>
        <w:lastRenderedPageBreak/>
        <w:t>Medzinárodnoprávna a regionálna (Európa, Amerika, Afrika...) ochrana ĽP</w:t>
      </w:r>
      <w:r w:rsidRPr="00F35F10">
        <w:rPr>
          <w:rFonts w:ascii="Times New Roman" w:hAnsi="Times New Roman" w:cs="Times New Roman"/>
          <w:sz w:val="24"/>
          <w:szCs w:val="24"/>
        </w:rPr>
        <w:t xml:space="preserve"> </w:t>
      </w:r>
      <w:r w:rsidR="00A77344" w:rsidRPr="00F35F1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B6652" w:rsidRPr="00F35F10">
        <w:rPr>
          <w:rFonts w:ascii="Times New Roman" w:hAnsi="Times New Roman" w:cs="Times New Roman"/>
          <w:i/>
          <w:iCs/>
          <w:sz w:val="24"/>
          <w:szCs w:val="24"/>
        </w:rPr>
        <w:t xml:space="preserve">Dagmar </w:t>
      </w:r>
      <w:proofErr w:type="spellStart"/>
      <w:r w:rsidR="008B6652" w:rsidRPr="00F35F10">
        <w:rPr>
          <w:rFonts w:ascii="Times New Roman" w:hAnsi="Times New Roman" w:cs="Times New Roman"/>
          <w:i/>
          <w:iCs/>
          <w:sz w:val="24"/>
          <w:szCs w:val="24"/>
        </w:rPr>
        <w:t>Lantajová</w:t>
      </w:r>
      <w:proofErr w:type="spellEnd"/>
      <w:r w:rsidR="00A77344" w:rsidRPr="00F35F1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77344" w:rsidRPr="00F35F10">
        <w:rPr>
          <w:rFonts w:ascii="Times New Roman" w:hAnsi="Times New Roman" w:cs="Times New Roman"/>
          <w:sz w:val="24"/>
          <w:szCs w:val="24"/>
        </w:rPr>
        <w:t xml:space="preserve"> V</w:t>
      </w:r>
      <w:r w:rsidRPr="00F35F10">
        <w:rPr>
          <w:rFonts w:ascii="Times New Roman" w:hAnsi="Times New Roman" w:cs="Times New Roman"/>
          <w:sz w:val="24"/>
          <w:szCs w:val="24"/>
        </w:rPr>
        <w:t xml:space="preserve">šeobecný úvod </w:t>
      </w:r>
      <w:r w:rsidR="00A77344" w:rsidRPr="00F35F10">
        <w:rPr>
          <w:rFonts w:ascii="Times New Roman" w:hAnsi="Times New Roman" w:cs="Times New Roman"/>
          <w:sz w:val="24"/>
          <w:szCs w:val="24"/>
        </w:rPr>
        <w:t xml:space="preserve">do problematiky </w:t>
      </w:r>
      <w:r w:rsidR="00E129D2" w:rsidRPr="00F35F10">
        <w:rPr>
          <w:rFonts w:ascii="Times New Roman" w:hAnsi="Times New Roman" w:cs="Times New Roman"/>
          <w:sz w:val="24"/>
          <w:szCs w:val="24"/>
        </w:rPr>
        <w:t xml:space="preserve">medzinárodnoprávnej úpravy ochrany </w:t>
      </w:r>
      <w:r w:rsidR="00A77344" w:rsidRPr="00F35F10">
        <w:rPr>
          <w:rFonts w:ascii="Times New Roman" w:hAnsi="Times New Roman" w:cs="Times New Roman"/>
          <w:sz w:val="24"/>
          <w:szCs w:val="24"/>
        </w:rPr>
        <w:t xml:space="preserve">ľudských práv a základných slobôd. </w:t>
      </w:r>
      <w:r w:rsidR="00E129D2" w:rsidRPr="00F35F10">
        <w:rPr>
          <w:rFonts w:ascii="Times New Roman" w:hAnsi="Times New Roman" w:cs="Times New Roman"/>
          <w:sz w:val="24"/>
          <w:szCs w:val="24"/>
        </w:rPr>
        <w:t>Vývoj a súčasná podoba medzinárodnoprávnej ochrany ľudských práv na univerzálnej úrovni v rámci Organizácie Spojených národov a k nej pridružených medzinárodných organizácií. Medzinárodnoprávna úprava ochrany ľudských práv na regionálnej úrovni v rámci Rady Európy, Európskej únie, Organizácie pre bezpečnosť a spoluprácu v Európe, Africkej únie, Organizácie amerických štátov a iných regionálnych medzinárodných organizácií.</w:t>
      </w:r>
    </w:p>
    <w:p w14:paraId="77539E7E" w14:textId="77777777" w:rsidR="00E92D5B" w:rsidRPr="00F35F10" w:rsidRDefault="00E92D5B" w:rsidP="0073363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F10">
        <w:rPr>
          <w:rFonts w:ascii="Times New Roman" w:hAnsi="Times New Roman" w:cs="Times New Roman"/>
          <w:b/>
          <w:sz w:val="24"/>
          <w:szCs w:val="24"/>
        </w:rPr>
        <w:t>Niektoré</w:t>
      </w:r>
      <w:r w:rsidRPr="00F35F10">
        <w:rPr>
          <w:rFonts w:ascii="Times New Roman" w:hAnsi="Times New Roman" w:cs="Times New Roman"/>
          <w:b/>
          <w:iCs/>
          <w:sz w:val="24"/>
          <w:szCs w:val="24"/>
        </w:rPr>
        <w:t xml:space="preserve"> nezápadné koncepcie ľudských práv, kultúra a náboženstvo</w:t>
      </w:r>
      <w:r w:rsidRPr="00F35F10">
        <w:rPr>
          <w:rFonts w:ascii="Times New Roman" w:hAnsi="Times New Roman" w:cs="Times New Roman"/>
          <w:i/>
          <w:iCs/>
          <w:sz w:val="24"/>
          <w:szCs w:val="24"/>
        </w:rPr>
        <w:t xml:space="preserve"> (Michaela Moravčíková) </w:t>
      </w:r>
      <w:r w:rsidRPr="00F35F10">
        <w:rPr>
          <w:rFonts w:ascii="Times New Roman" w:hAnsi="Times New Roman" w:cs="Times New Roman"/>
          <w:iCs/>
          <w:sz w:val="24"/>
          <w:szCs w:val="24"/>
        </w:rPr>
        <w:t>Ľudské práva v islame a iných vybraných nezápadných náboženstvách, regionálne dokumenty o ochrane ľudských práv. Náboženské organizácie a ľudské práva.</w:t>
      </w:r>
    </w:p>
    <w:p w14:paraId="0E761B0C" w14:textId="77777777" w:rsidR="00412AB5" w:rsidRPr="00F35F10" w:rsidRDefault="00412AB5" w:rsidP="0073363B">
      <w:pPr>
        <w:pStyle w:val="Odsekzoznamu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5F10">
        <w:rPr>
          <w:rFonts w:ascii="Times New Roman" w:hAnsi="Times New Roman" w:cs="Times New Roman"/>
          <w:b/>
          <w:sz w:val="24"/>
          <w:szCs w:val="24"/>
        </w:rPr>
        <w:t xml:space="preserve">Právo na ochranu osobných údajov v práve EÚ </w:t>
      </w:r>
      <w:r w:rsidRPr="00F35F10">
        <w:rPr>
          <w:rFonts w:ascii="Times New Roman" w:hAnsi="Times New Roman" w:cs="Times New Roman"/>
          <w:bCs/>
          <w:i/>
          <w:iCs/>
          <w:sz w:val="24"/>
          <w:szCs w:val="24"/>
        </w:rPr>
        <w:t>(Peter Varga)</w:t>
      </w:r>
    </w:p>
    <w:p w14:paraId="63F865D6" w14:textId="77777777" w:rsidR="00412AB5" w:rsidRPr="00F35F10" w:rsidRDefault="00412AB5" w:rsidP="0073363B">
      <w:pPr>
        <w:pStyle w:val="Odsekzoznamu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F10">
        <w:rPr>
          <w:rFonts w:ascii="Times New Roman" w:hAnsi="Times New Roman" w:cs="Times New Roman"/>
          <w:bCs/>
          <w:sz w:val="24"/>
          <w:szCs w:val="24"/>
        </w:rPr>
        <w:t xml:space="preserve">Ochrana súkromia a ochrana osobných údajov v podmienkach EÚ a SR. Základné koncepty práva na ochranu osobných údajov. Všeobecné nariadenie o ochrane osobných údajov (GDPR). Práva jednotlivcov pri spracúvaní osobných údajov. Prenos osobných údajov do zahraničia. </w:t>
      </w:r>
    </w:p>
    <w:p w14:paraId="4B67B1B6" w14:textId="4FE03C6C" w:rsidR="002735B9" w:rsidRPr="00F35F10" w:rsidRDefault="00B346AD" w:rsidP="0073363B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F10">
        <w:rPr>
          <w:rFonts w:ascii="Times New Roman" w:hAnsi="Times New Roman" w:cs="Times New Roman"/>
          <w:b/>
          <w:bCs/>
          <w:sz w:val="24"/>
          <w:szCs w:val="24"/>
        </w:rPr>
        <w:t xml:space="preserve">Univerzálny systém </w:t>
      </w:r>
      <w:r w:rsidR="00CF05CC" w:rsidRPr="00F35F10">
        <w:rPr>
          <w:rFonts w:ascii="Times New Roman" w:hAnsi="Times New Roman" w:cs="Times New Roman"/>
          <w:b/>
          <w:bCs/>
          <w:sz w:val="24"/>
          <w:szCs w:val="24"/>
        </w:rPr>
        <w:t xml:space="preserve">ochrany ľudských práv s dôrazom na ich </w:t>
      </w:r>
      <w:proofErr w:type="spellStart"/>
      <w:r w:rsidR="00CF05CC" w:rsidRPr="00F35F10">
        <w:rPr>
          <w:rFonts w:ascii="Times New Roman" w:hAnsi="Times New Roman" w:cs="Times New Roman"/>
          <w:b/>
          <w:bCs/>
          <w:sz w:val="24"/>
          <w:szCs w:val="24"/>
        </w:rPr>
        <w:t>kvázisúdnu</w:t>
      </w:r>
      <w:proofErr w:type="spellEnd"/>
      <w:r w:rsidR="00CF05CC" w:rsidRPr="00F35F10">
        <w:rPr>
          <w:rFonts w:ascii="Times New Roman" w:hAnsi="Times New Roman" w:cs="Times New Roman"/>
          <w:b/>
          <w:bCs/>
          <w:sz w:val="24"/>
          <w:szCs w:val="24"/>
        </w:rPr>
        <w:t xml:space="preserve"> ochranu</w:t>
      </w:r>
      <w:r w:rsidR="00CF05CC" w:rsidRPr="00F35F10">
        <w:rPr>
          <w:rFonts w:ascii="Times New Roman" w:hAnsi="Times New Roman" w:cs="Times New Roman"/>
          <w:sz w:val="24"/>
          <w:szCs w:val="24"/>
        </w:rPr>
        <w:t xml:space="preserve"> </w:t>
      </w:r>
      <w:r w:rsidR="002735B9" w:rsidRPr="00F35F1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F35F10">
        <w:rPr>
          <w:rFonts w:ascii="Times New Roman" w:hAnsi="Times New Roman" w:cs="Times New Roman"/>
          <w:i/>
          <w:iCs/>
          <w:sz w:val="24"/>
          <w:szCs w:val="24"/>
        </w:rPr>
        <w:t xml:space="preserve">Dagmar </w:t>
      </w:r>
      <w:proofErr w:type="spellStart"/>
      <w:r w:rsidRPr="00F35F10">
        <w:rPr>
          <w:rFonts w:ascii="Times New Roman" w:hAnsi="Times New Roman" w:cs="Times New Roman"/>
          <w:i/>
          <w:iCs/>
          <w:sz w:val="24"/>
          <w:szCs w:val="24"/>
        </w:rPr>
        <w:t>Lantajová</w:t>
      </w:r>
      <w:proofErr w:type="spellEnd"/>
      <w:r w:rsidR="002735B9" w:rsidRPr="00F35F1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4196D54" w14:textId="70B7BF69" w:rsidR="00A77344" w:rsidRPr="00F35F10" w:rsidRDefault="00CF05CC" w:rsidP="0073363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35F10">
        <w:rPr>
          <w:rFonts w:ascii="Times New Roman" w:hAnsi="Times New Roman" w:cs="Times New Roman"/>
          <w:sz w:val="24"/>
          <w:szCs w:val="24"/>
        </w:rPr>
        <w:t xml:space="preserve">Analýza univerzálneho systému ochrany ľudských práv. Charakteristika medzinárodných paktov o ochrane ľudských práv z roku 1966. </w:t>
      </w:r>
      <w:proofErr w:type="spellStart"/>
      <w:r w:rsidRPr="00F35F10">
        <w:rPr>
          <w:rFonts w:ascii="Times New Roman" w:hAnsi="Times New Roman" w:cs="Times New Roman"/>
          <w:sz w:val="24"/>
          <w:szCs w:val="24"/>
        </w:rPr>
        <w:t>Kvázisúdne</w:t>
      </w:r>
      <w:proofErr w:type="spellEnd"/>
      <w:r w:rsidRPr="00F35F10">
        <w:rPr>
          <w:rFonts w:ascii="Times New Roman" w:hAnsi="Times New Roman" w:cs="Times New Roman"/>
          <w:sz w:val="24"/>
          <w:szCs w:val="24"/>
        </w:rPr>
        <w:t xml:space="preserve"> orgány a proces individuálnych oznámení. </w:t>
      </w:r>
    </w:p>
    <w:p w14:paraId="3E842408" w14:textId="7C1A2E81" w:rsidR="00A77344" w:rsidRPr="00F35F10" w:rsidRDefault="00A77344" w:rsidP="0073363B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F10">
        <w:rPr>
          <w:rFonts w:ascii="Times New Roman" w:hAnsi="Times New Roman" w:cs="Times New Roman"/>
          <w:b/>
          <w:bCs/>
          <w:sz w:val="24"/>
          <w:szCs w:val="24"/>
        </w:rPr>
        <w:t xml:space="preserve">Sociálne práva </w:t>
      </w:r>
      <w:r w:rsidR="002735B9" w:rsidRPr="00F35F1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D4942" w:rsidRPr="00F35F10">
        <w:rPr>
          <w:rFonts w:ascii="Times New Roman" w:hAnsi="Times New Roman" w:cs="Times New Roman"/>
          <w:i/>
          <w:iCs/>
          <w:sz w:val="24"/>
          <w:szCs w:val="24"/>
        </w:rPr>
        <w:t>Viktor Križan</w:t>
      </w:r>
      <w:r w:rsidR="002735B9" w:rsidRPr="00F35F1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E670BB0" w14:textId="77777777" w:rsidR="00A77344" w:rsidRPr="00F35F10" w:rsidRDefault="00A77344" w:rsidP="0073363B">
      <w:pPr>
        <w:pStyle w:val="Odsekzoznamu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F10">
        <w:rPr>
          <w:rFonts w:ascii="Times New Roman" w:hAnsi="Times New Roman" w:cs="Times New Roman"/>
          <w:sz w:val="24"/>
          <w:szCs w:val="24"/>
        </w:rPr>
        <w:t>Pojem, vývoj a základné pramene sociálnych práv. Medzinárodná organizácia práce, jej pôsobnosť, normotvorba a kontrolný mechanizmus. Pracovné právo Rady Európy: Európska sociálna charta, Dodatkový protokol k Európskej sociálnej charte a Revidovaná Európska sociálna charta.</w:t>
      </w:r>
    </w:p>
    <w:p w14:paraId="02385567" w14:textId="1FDF2495" w:rsidR="00412AB5" w:rsidRPr="00F35F10" w:rsidRDefault="00CF05CC" w:rsidP="0073363B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F10">
        <w:rPr>
          <w:rFonts w:ascii="Times New Roman" w:hAnsi="Times New Roman" w:cs="Times New Roman"/>
          <w:b/>
          <w:bCs/>
          <w:sz w:val="24"/>
          <w:szCs w:val="24"/>
        </w:rPr>
        <w:t>Práva žien, detí</w:t>
      </w:r>
      <w:r w:rsidR="00DD100E" w:rsidRPr="00F35F10">
        <w:rPr>
          <w:rFonts w:ascii="Times New Roman" w:hAnsi="Times New Roman" w:cs="Times New Roman"/>
          <w:b/>
          <w:bCs/>
          <w:sz w:val="24"/>
          <w:szCs w:val="24"/>
        </w:rPr>
        <w:t>, zdravotne znevýhodnených ľudí</w:t>
      </w:r>
      <w:r w:rsidR="00DD100E" w:rsidRPr="00F35F10">
        <w:rPr>
          <w:rFonts w:ascii="Times New Roman" w:hAnsi="Times New Roman" w:cs="Times New Roman"/>
          <w:sz w:val="24"/>
          <w:szCs w:val="24"/>
        </w:rPr>
        <w:t xml:space="preserve"> </w:t>
      </w:r>
      <w:r w:rsidRPr="00F35F10">
        <w:rPr>
          <w:rFonts w:ascii="Times New Roman" w:hAnsi="Times New Roman" w:cs="Times New Roman"/>
          <w:b/>
          <w:bCs/>
          <w:sz w:val="24"/>
          <w:szCs w:val="24"/>
        </w:rPr>
        <w:t>a zákaz rasovej diskriminácie</w:t>
      </w:r>
      <w:r w:rsidR="00B346AD" w:rsidRPr="00F35F10">
        <w:rPr>
          <w:rFonts w:ascii="Times New Roman" w:hAnsi="Times New Roman" w:cs="Times New Roman"/>
          <w:sz w:val="24"/>
          <w:szCs w:val="24"/>
        </w:rPr>
        <w:t xml:space="preserve"> </w:t>
      </w:r>
      <w:r w:rsidR="002735B9" w:rsidRPr="00F35F1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346AD" w:rsidRPr="00F35F10">
        <w:rPr>
          <w:rFonts w:ascii="Times New Roman" w:hAnsi="Times New Roman" w:cs="Times New Roman"/>
          <w:i/>
          <w:iCs/>
          <w:sz w:val="24"/>
          <w:szCs w:val="24"/>
        </w:rPr>
        <w:t xml:space="preserve">Dagmar </w:t>
      </w:r>
      <w:proofErr w:type="spellStart"/>
      <w:r w:rsidR="00B346AD" w:rsidRPr="00F35F10">
        <w:rPr>
          <w:rFonts w:ascii="Times New Roman" w:hAnsi="Times New Roman" w:cs="Times New Roman"/>
          <w:i/>
          <w:iCs/>
          <w:sz w:val="24"/>
          <w:szCs w:val="24"/>
        </w:rPr>
        <w:t>Lantajová</w:t>
      </w:r>
      <w:proofErr w:type="spellEnd"/>
      <w:r w:rsidR="002735B9" w:rsidRPr="00F35F1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7220B98" w14:textId="4E97636D" w:rsidR="00CF05CC" w:rsidRPr="00F35F10" w:rsidRDefault="00CF05CC" w:rsidP="0073363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35F10">
        <w:rPr>
          <w:rFonts w:ascii="Times New Roman" w:hAnsi="Times New Roman" w:cs="Times New Roman"/>
          <w:sz w:val="24"/>
          <w:szCs w:val="24"/>
        </w:rPr>
        <w:t>Charakteristika medzinárodných dohovorov týkajúcich sa ochrany práv žien</w:t>
      </w:r>
      <w:r w:rsidR="00DD100E" w:rsidRPr="00F35F10">
        <w:rPr>
          <w:rFonts w:ascii="Times New Roman" w:hAnsi="Times New Roman" w:cs="Times New Roman"/>
          <w:sz w:val="24"/>
          <w:szCs w:val="24"/>
        </w:rPr>
        <w:t>,</w:t>
      </w:r>
      <w:r w:rsidRPr="00F35F10">
        <w:rPr>
          <w:rFonts w:ascii="Times New Roman" w:hAnsi="Times New Roman" w:cs="Times New Roman"/>
          <w:sz w:val="24"/>
          <w:szCs w:val="24"/>
        </w:rPr>
        <w:t xml:space="preserve"> detí</w:t>
      </w:r>
      <w:r w:rsidR="00DD100E" w:rsidRPr="00F35F10">
        <w:rPr>
          <w:rFonts w:ascii="Times New Roman" w:hAnsi="Times New Roman" w:cs="Times New Roman"/>
          <w:sz w:val="24"/>
          <w:szCs w:val="24"/>
        </w:rPr>
        <w:t xml:space="preserve">, zdravotne znevýhodnených ľudí </w:t>
      </w:r>
      <w:r w:rsidRPr="00F35F10">
        <w:rPr>
          <w:rFonts w:ascii="Times New Roman" w:hAnsi="Times New Roman" w:cs="Times New Roman"/>
          <w:sz w:val="24"/>
          <w:szCs w:val="24"/>
        </w:rPr>
        <w:t xml:space="preserve">a zákazu rasovej diskriminácie, </w:t>
      </w:r>
      <w:proofErr w:type="spellStart"/>
      <w:r w:rsidRPr="00F35F10">
        <w:rPr>
          <w:rFonts w:ascii="Times New Roman" w:hAnsi="Times New Roman" w:cs="Times New Roman"/>
          <w:sz w:val="24"/>
          <w:szCs w:val="24"/>
        </w:rPr>
        <w:t>kvázisúdna</w:t>
      </w:r>
      <w:proofErr w:type="spellEnd"/>
      <w:r w:rsidRPr="00F35F10">
        <w:rPr>
          <w:rFonts w:ascii="Times New Roman" w:hAnsi="Times New Roman" w:cs="Times New Roman"/>
          <w:sz w:val="24"/>
          <w:szCs w:val="24"/>
        </w:rPr>
        <w:t xml:space="preserve"> ochrana týchto práv a prehľad judikatúry v danej oblasti.  </w:t>
      </w:r>
    </w:p>
    <w:p w14:paraId="43781AC6" w14:textId="2E7591D0" w:rsidR="00E129D2" w:rsidRPr="00F35F10" w:rsidRDefault="00E129D2" w:rsidP="0073363B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F10">
        <w:rPr>
          <w:rFonts w:ascii="Times New Roman" w:hAnsi="Times New Roman" w:cs="Times New Roman"/>
          <w:b/>
          <w:bCs/>
          <w:sz w:val="24"/>
          <w:szCs w:val="24"/>
        </w:rPr>
        <w:t>Vybrané p</w:t>
      </w:r>
      <w:r w:rsidR="002124EB" w:rsidRPr="00F35F10">
        <w:rPr>
          <w:rFonts w:ascii="Times New Roman" w:hAnsi="Times New Roman" w:cs="Times New Roman"/>
          <w:b/>
          <w:bCs/>
          <w:sz w:val="24"/>
          <w:szCs w:val="24"/>
        </w:rPr>
        <w:t xml:space="preserve">ráva III. </w:t>
      </w:r>
      <w:r w:rsidRPr="00F35F10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2124EB" w:rsidRPr="00F35F10">
        <w:rPr>
          <w:rFonts w:ascii="Times New Roman" w:hAnsi="Times New Roman" w:cs="Times New Roman"/>
          <w:b/>
          <w:bCs/>
          <w:sz w:val="24"/>
          <w:szCs w:val="24"/>
        </w:rPr>
        <w:t xml:space="preserve">enerácie </w:t>
      </w:r>
      <w:r w:rsidRPr="00F35F10">
        <w:rPr>
          <w:rFonts w:ascii="Times New Roman" w:hAnsi="Times New Roman" w:cs="Times New Roman"/>
          <w:b/>
          <w:bCs/>
          <w:sz w:val="24"/>
          <w:szCs w:val="24"/>
        </w:rPr>
        <w:t xml:space="preserve">ľudských práv </w:t>
      </w:r>
      <w:r w:rsidR="002124EB" w:rsidRPr="00F35F10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F35F10">
        <w:rPr>
          <w:rFonts w:ascii="Times New Roman" w:hAnsi="Times New Roman" w:cs="Times New Roman"/>
          <w:b/>
          <w:bCs/>
          <w:sz w:val="24"/>
          <w:szCs w:val="24"/>
        </w:rPr>
        <w:t xml:space="preserve">právo národov na </w:t>
      </w:r>
      <w:r w:rsidR="002124EB" w:rsidRPr="00F35F10">
        <w:rPr>
          <w:rFonts w:ascii="Times New Roman" w:hAnsi="Times New Roman" w:cs="Times New Roman"/>
          <w:b/>
          <w:bCs/>
          <w:sz w:val="24"/>
          <w:szCs w:val="24"/>
        </w:rPr>
        <w:t>sebaurčenie</w:t>
      </w:r>
      <w:r w:rsidRPr="00F35F10">
        <w:rPr>
          <w:rFonts w:ascii="Times New Roman" w:hAnsi="Times New Roman" w:cs="Times New Roman"/>
          <w:b/>
          <w:bCs/>
          <w:sz w:val="24"/>
          <w:szCs w:val="24"/>
        </w:rPr>
        <w:t>, ľudské environmentálne práva</w:t>
      </w:r>
      <w:r w:rsidR="002124EB" w:rsidRPr="00F35F10">
        <w:rPr>
          <w:rFonts w:ascii="Times New Roman" w:hAnsi="Times New Roman" w:cs="Times New Roman"/>
          <w:sz w:val="24"/>
          <w:szCs w:val="24"/>
        </w:rPr>
        <w:t xml:space="preserve"> </w:t>
      </w:r>
      <w:r w:rsidR="002735B9" w:rsidRPr="00F35F1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B6652" w:rsidRPr="00F35F10">
        <w:rPr>
          <w:rFonts w:ascii="Times New Roman" w:hAnsi="Times New Roman" w:cs="Times New Roman"/>
          <w:i/>
          <w:iCs/>
          <w:sz w:val="24"/>
          <w:szCs w:val="24"/>
        </w:rPr>
        <w:t xml:space="preserve">Metod </w:t>
      </w:r>
      <w:proofErr w:type="spellStart"/>
      <w:r w:rsidR="008B6652" w:rsidRPr="00F35F10">
        <w:rPr>
          <w:rFonts w:ascii="Times New Roman" w:hAnsi="Times New Roman" w:cs="Times New Roman"/>
          <w:i/>
          <w:iCs/>
          <w:sz w:val="24"/>
          <w:szCs w:val="24"/>
        </w:rPr>
        <w:t>Špaček</w:t>
      </w:r>
      <w:proofErr w:type="spellEnd"/>
      <w:r w:rsidR="002735B9" w:rsidRPr="00F35F1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412AB5" w:rsidRPr="00F35F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C35B3D3" w14:textId="26A8A894" w:rsidR="00E129D2" w:rsidRPr="00F35F10" w:rsidRDefault="00E129D2" w:rsidP="0073363B">
      <w:pPr>
        <w:pStyle w:val="Odsekzoznamu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F10">
        <w:rPr>
          <w:rFonts w:ascii="Times New Roman" w:hAnsi="Times New Roman" w:cs="Times New Roman"/>
          <w:sz w:val="24"/>
          <w:szCs w:val="24"/>
        </w:rPr>
        <w:t>Historický vývoj a súčasné podoba medzinárodnoprávnej úpravy práva národov na sebaurčenie v kontexte činnosti Spoločnosti národov a Organizácie Spojených národov. Formovanie a súčasná podoba medzinárodnoprávnej úpravy ľudských environmentálnych práv v rámci Organizácie Spojených národov a regionálnych medzinárodných organizácií a zoskupení.</w:t>
      </w:r>
    </w:p>
    <w:p w14:paraId="6271EE39" w14:textId="77777777" w:rsidR="00412AB5" w:rsidRPr="00F35F10" w:rsidRDefault="00412AB5" w:rsidP="007336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F10">
        <w:rPr>
          <w:rFonts w:ascii="Times New Roman" w:hAnsi="Times New Roman" w:cs="Times New Roman"/>
          <w:b/>
          <w:bCs/>
          <w:sz w:val="24"/>
          <w:szCs w:val="24"/>
        </w:rPr>
        <w:t>Letný semester</w:t>
      </w:r>
    </w:p>
    <w:p w14:paraId="4DD8529D" w14:textId="77777777" w:rsidR="00E92D5B" w:rsidRPr="00F35F10" w:rsidRDefault="00E92D5B" w:rsidP="0073363B">
      <w:pPr>
        <w:pStyle w:val="Odsekzoznamu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F10">
        <w:rPr>
          <w:rFonts w:ascii="Times New Roman" w:hAnsi="Times New Roman" w:cs="Times New Roman"/>
          <w:b/>
          <w:bCs/>
          <w:sz w:val="24"/>
          <w:szCs w:val="24"/>
        </w:rPr>
        <w:t>Ochrana ľudských práv v práve EÚ</w:t>
      </w:r>
      <w:r w:rsidRPr="00F35F10">
        <w:rPr>
          <w:rFonts w:ascii="Times New Roman" w:hAnsi="Times New Roman" w:cs="Times New Roman"/>
          <w:sz w:val="24"/>
          <w:szCs w:val="24"/>
        </w:rPr>
        <w:t xml:space="preserve"> </w:t>
      </w:r>
      <w:r w:rsidRPr="00F35F10">
        <w:rPr>
          <w:rFonts w:ascii="Times New Roman" w:hAnsi="Times New Roman" w:cs="Times New Roman"/>
          <w:i/>
          <w:iCs/>
          <w:sz w:val="24"/>
          <w:szCs w:val="24"/>
        </w:rPr>
        <w:t>(Peter Varga)</w:t>
      </w:r>
    </w:p>
    <w:p w14:paraId="7EE62AF2" w14:textId="77777777" w:rsidR="00E92D5B" w:rsidRPr="00F35F10" w:rsidRDefault="00E92D5B" w:rsidP="0073363B">
      <w:pPr>
        <w:pStyle w:val="Odsekzoznamu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5F10">
        <w:rPr>
          <w:rFonts w:ascii="Times New Roman" w:hAnsi="Times New Roman" w:cs="Times New Roman"/>
          <w:bCs/>
          <w:sz w:val="24"/>
          <w:szCs w:val="24"/>
        </w:rPr>
        <w:t xml:space="preserve">Postavenie ľudských práv v politikách EÚ. Charta základných práv EÚ ako samostatný </w:t>
      </w:r>
      <w:proofErr w:type="spellStart"/>
      <w:r w:rsidRPr="00F35F10">
        <w:rPr>
          <w:rFonts w:ascii="Times New Roman" w:hAnsi="Times New Roman" w:cs="Times New Roman"/>
          <w:bCs/>
          <w:sz w:val="24"/>
          <w:szCs w:val="24"/>
        </w:rPr>
        <w:t>ľudskoprávny</w:t>
      </w:r>
      <w:proofErr w:type="spellEnd"/>
      <w:r w:rsidRPr="00F35F10">
        <w:rPr>
          <w:rFonts w:ascii="Times New Roman" w:hAnsi="Times New Roman" w:cs="Times New Roman"/>
          <w:bCs/>
          <w:sz w:val="24"/>
          <w:szCs w:val="24"/>
        </w:rPr>
        <w:t xml:space="preserve"> dokument EÚ. EÚ a pristúpenie k Európskemu dohovoru o ochrane ľudských práv a základných slobôd. Princíp </w:t>
      </w:r>
      <w:proofErr w:type="spellStart"/>
      <w:r w:rsidRPr="00F35F10">
        <w:rPr>
          <w:rFonts w:ascii="Times New Roman" w:hAnsi="Times New Roman" w:cs="Times New Roman"/>
          <w:bCs/>
          <w:sz w:val="24"/>
          <w:szCs w:val="24"/>
        </w:rPr>
        <w:t>rovn</w:t>
      </w:r>
      <w:proofErr w:type="spellEnd"/>
      <w:r w:rsidRPr="00F35F10">
        <w:rPr>
          <w:rFonts w:ascii="Times New Roman" w:hAnsi="Times New Roman" w:cs="Times New Roman"/>
          <w:bCs/>
          <w:sz w:val="24"/>
          <w:szCs w:val="24"/>
        </w:rPr>
        <w:t>(ak)</w:t>
      </w:r>
      <w:proofErr w:type="spellStart"/>
      <w:r w:rsidRPr="00F35F10">
        <w:rPr>
          <w:rFonts w:ascii="Times New Roman" w:hAnsi="Times New Roman" w:cs="Times New Roman"/>
          <w:bCs/>
          <w:sz w:val="24"/>
          <w:szCs w:val="24"/>
        </w:rPr>
        <w:t>ého</w:t>
      </w:r>
      <w:proofErr w:type="spellEnd"/>
      <w:r w:rsidRPr="00F35F10">
        <w:rPr>
          <w:rFonts w:ascii="Times New Roman" w:hAnsi="Times New Roman" w:cs="Times New Roman"/>
          <w:bCs/>
          <w:sz w:val="24"/>
          <w:szCs w:val="24"/>
        </w:rPr>
        <w:t xml:space="preserve"> zaobchádzania v práve EÚ (antidiskriminačná legislatíva EÚ).</w:t>
      </w:r>
    </w:p>
    <w:p w14:paraId="2106534D" w14:textId="6B54C9C9" w:rsidR="00A77344" w:rsidRPr="00F35F10" w:rsidRDefault="00412AB5" w:rsidP="0073363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F10">
        <w:rPr>
          <w:rFonts w:ascii="Times New Roman" w:hAnsi="Times New Roman" w:cs="Times New Roman"/>
          <w:b/>
          <w:bCs/>
          <w:sz w:val="24"/>
          <w:szCs w:val="24"/>
        </w:rPr>
        <w:lastRenderedPageBreak/>
        <w:t>Rodová rovnosť v práve Európskej únie</w:t>
      </w:r>
      <w:r w:rsidR="00A77344" w:rsidRPr="00F35F10">
        <w:rPr>
          <w:rFonts w:ascii="Times New Roman" w:hAnsi="Times New Roman" w:cs="Times New Roman"/>
          <w:sz w:val="24"/>
          <w:szCs w:val="24"/>
        </w:rPr>
        <w:t xml:space="preserve"> </w:t>
      </w:r>
      <w:r w:rsidR="002735B9" w:rsidRPr="00F35F1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D4942" w:rsidRPr="00F35F10">
        <w:rPr>
          <w:rFonts w:ascii="Times New Roman" w:hAnsi="Times New Roman" w:cs="Times New Roman"/>
          <w:i/>
          <w:iCs/>
          <w:sz w:val="24"/>
          <w:szCs w:val="24"/>
        </w:rPr>
        <w:t>Peter Varga</w:t>
      </w:r>
      <w:r w:rsidR="002735B9" w:rsidRPr="00F35F1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AB66FD7" w14:textId="77777777" w:rsidR="00B346AD" w:rsidRPr="00F35F10" w:rsidRDefault="00412AB5" w:rsidP="0073363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35F10">
        <w:rPr>
          <w:rFonts w:ascii="Times New Roman" w:hAnsi="Times New Roman" w:cs="Times New Roman"/>
          <w:sz w:val="24"/>
          <w:szCs w:val="24"/>
        </w:rPr>
        <w:t>Priama a nepriama diskriminácia, zastrašovanie, pozitívna diskriminácia. Princíp rovnakej odmeny za rovnakú prácu. Rovnaké zaobchádzanie v zamestnaní a v oblasti sociálneho zabezpečenia. Právna ochrana tehotných žien, šestonedieľok a rodičov. Rovnaké zaobchádzanie v prístupe k tovarom a službám. Mechanizmy vymáhania antidiskriminačnej legislatívy.</w:t>
      </w:r>
      <w:r w:rsidR="002124EB" w:rsidRPr="00F35F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DA0BE" w14:textId="77777777" w:rsidR="00E92D5B" w:rsidRPr="00F35F10" w:rsidRDefault="00E92D5B" w:rsidP="0073363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F10">
        <w:rPr>
          <w:rFonts w:ascii="Times New Roman" w:hAnsi="Times New Roman" w:cs="Times New Roman"/>
          <w:b/>
          <w:iCs/>
          <w:sz w:val="24"/>
          <w:szCs w:val="24"/>
        </w:rPr>
        <w:t>Sloboda myslenia, svedomia a náboženského vyznania</w:t>
      </w:r>
      <w:r w:rsidRPr="00F35F10">
        <w:rPr>
          <w:rFonts w:ascii="Times New Roman" w:hAnsi="Times New Roman" w:cs="Times New Roman"/>
          <w:i/>
          <w:iCs/>
          <w:sz w:val="24"/>
          <w:szCs w:val="24"/>
        </w:rPr>
        <w:t xml:space="preserve"> (Michaela Moravčíková)</w:t>
      </w:r>
    </w:p>
    <w:p w14:paraId="6DEC6F6A" w14:textId="77777777" w:rsidR="00E92D5B" w:rsidRPr="00F35F10" w:rsidRDefault="00E92D5B" w:rsidP="0073363B">
      <w:pPr>
        <w:pStyle w:val="Odsekzoznamu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F10">
        <w:rPr>
          <w:rFonts w:ascii="Times New Roman" w:hAnsi="Times New Roman" w:cs="Times New Roman"/>
          <w:iCs/>
          <w:sz w:val="24"/>
          <w:szCs w:val="24"/>
        </w:rPr>
        <w:t>Sloboda myslenia, svedomia a náboženského vyznania ako základné ľudské právo a pôvod iných práv, jej ochrana v medzinárodnom a európskom práve. Kolektívne prejavy náboženskej slobody a možnosti ich obmedzenia</w:t>
      </w:r>
      <w:r w:rsidRPr="00F35F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A27B01C" w14:textId="77777777" w:rsidR="00E92D5B" w:rsidRPr="00F35F10" w:rsidRDefault="00E92D5B" w:rsidP="0073363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F10">
        <w:rPr>
          <w:rFonts w:ascii="Times New Roman" w:hAnsi="Times New Roman" w:cs="Times New Roman"/>
          <w:b/>
          <w:bCs/>
          <w:sz w:val="24"/>
          <w:szCs w:val="24"/>
        </w:rPr>
        <w:t xml:space="preserve">Sloboda svedomia </w:t>
      </w:r>
      <w:r w:rsidRPr="00F35F10">
        <w:rPr>
          <w:rFonts w:ascii="Times New Roman" w:hAnsi="Times New Roman" w:cs="Times New Roman"/>
          <w:i/>
          <w:iCs/>
          <w:sz w:val="24"/>
          <w:szCs w:val="24"/>
        </w:rPr>
        <w:t>(Marek Šmid)</w:t>
      </w:r>
    </w:p>
    <w:p w14:paraId="6F9C018E" w14:textId="3E1DB27D" w:rsidR="00E92D5B" w:rsidRPr="00F35F10" w:rsidRDefault="0073363B" w:rsidP="0073363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35F10">
        <w:rPr>
          <w:rFonts w:ascii="Times New Roman" w:hAnsi="Times New Roman" w:cs="Times New Roman"/>
          <w:sz w:val="24"/>
          <w:szCs w:val="24"/>
        </w:rPr>
        <w:t>Základná c</w:t>
      </w:r>
      <w:r w:rsidR="00DD100E" w:rsidRPr="00F35F10">
        <w:rPr>
          <w:rFonts w:ascii="Times New Roman" w:hAnsi="Times New Roman" w:cs="Times New Roman"/>
          <w:sz w:val="24"/>
          <w:szCs w:val="24"/>
        </w:rPr>
        <w:t xml:space="preserve">harakteristika </w:t>
      </w:r>
      <w:r w:rsidRPr="00F35F10">
        <w:rPr>
          <w:rFonts w:ascii="Times New Roman" w:hAnsi="Times New Roman" w:cs="Times New Roman"/>
          <w:sz w:val="24"/>
          <w:szCs w:val="24"/>
        </w:rPr>
        <w:t>slobody svedomia a a</w:t>
      </w:r>
      <w:r w:rsidR="00E92D5B" w:rsidRPr="00F35F10">
        <w:rPr>
          <w:rFonts w:ascii="Times New Roman" w:hAnsi="Times New Roman" w:cs="Times New Roman"/>
          <w:sz w:val="24"/>
          <w:szCs w:val="24"/>
        </w:rPr>
        <w:t>plikačná prax výhrady vo svedomí.</w:t>
      </w:r>
    </w:p>
    <w:p w14:paraId="2E4FA8AB" w14:textId="0363060D" w:rsidR="00A77344" w:rsidRPr="00F35F10" w:rsidRDefault="00A77344" w:rsidP="0073363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F10">
        <w:rPr>
          <w:rFonts w:ascii="Times New Roman" w:hAnsi="Times New Roman" w:cs="Times New Roman"/>
          <w:b/>
          <w:bCs/>
          <w:sz w:val="24"/>
          <w:szCs w:val="24"/>
        </w:rPr>
        <w:t>Dobrovoľná migrácia</w:t>
      </w:r>
      <w:r w:rsidRPr="00F35F10">
        <w:rPr>
          <w:rFonts w:ascii="Times New Roman" w:hAnsi="Times New Roman" w:cs="Times New Roman"/>
          <w:sz w:val="24"/>
          <w:szCs w:val="24"/>
        </w:rPr>
        <w:t xml:space="preserve"> </w:t>
      </w:r>
      <w:r w:rsidR="002735B9" w:rsidRPr="00F35F1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E29CB" w:rsidRPr="00F35F10">
        <w:rPr>
          <w:rFonts w:ascii="Times New Roman" w:hAnsi="Times New Roman" w:cs="Times New Roman"/>
          <w:i/>
          <w:iCs/>
          <w:sz w:val="24"/>
          <w:szCs w:val="24"/>
        </w:rPr>
        <w:t xml:space="preserve">Miroslava </w:t>
      </w:r>
      <w:proofErr w:type="spellStart"/>
      <w:r w:rsidR="00CE29CB" w:rsidRPr="00F35F10">
        <w:rPr>
          <w:rFonts w:ascii="Times New Roman" w:hAnsi="Times New Roman" w:cs="Times New Roman"/>
          <w:i/>
          <w:iCs/>
          <w:sz w:val="24"/>
          <w:szCs w:val="24"/>
        </w:rPr>
        <w:t>Mittelmmanová</w:t>
      </w:r>
      <w:proofErr w:type="spellEnd"/>
      <w:r w:rsidR="002735B9" w:rsidRPr="00F35F1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10675AC" w14:textId="77777777" w:rsidR="00A77344" w:rsidRPr="00F35F10" w:rsidRDefault="00A77344" w:rsidP="0073363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35F10">
        <w:rPr>
          <w:rFonts w:ascii="Times New Roman" w:hAnsi="Times New Roman" w:cs="Times New Roman"/>
          <w:sz w:val="24"/>
          <w:szCs w:val="24"/>
        </w:rPr>
        <w:t xml:space="preserve">Dobrovoľná </w:t>
      </w:r>
      <w:proofErr w:type="spellStart"/>
      <w:r w:rsidRPr="00F35F10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F35F10">
        <w:rPr>
          <w:rFonts w:ascii="Times New Roman" w:hAnsi="Times New Roman" w:cs="Times New Roman"/>
          <w:sz w:val="24"/>
          <w:szCs w:val="24"/>
        </w:rPr>
        <w:t>. nútená migrácia. Právo opustiť krajinu a právo na vstup do krajiny. Právo na ochranu pred vyhostením. Právo na zlučovanie rodín. Pramene a (personálna) pôsobnosť právnej úpravy. Diskriminácia na základe štátnej príslušnosti. Inštitucionálny rámec medzinárodnej migrácie.</w:t>
      </w:r>
    </w:p>
    <w:p w14:paraId="2FDD2140" w14:textId="4C1D1AF0" w:rsidR="00A77344" w:rsidRPr="00F35F10" w:rsidRDefault="0073363B" w:rsidP="0073363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F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Dohovor Rady Európy o ochrane ľudských práv a základných slobôd a jeho kontrolný systém</w:t>
      </w:r>
      <w:r w:rsidR="00A77344" w:rsidRPr="00F35F10">
        <w:rPr>
          <w:rFonts w:ascii="Times New Roman" w:hAnsi="Times New Roman" w:cs="Times New Roman"/>
          <w:sz w:val="24"/>
          <w:szCs w:val="24"/>
        </w:rPr>
        <w:t xml:space="preserve"> </w:t>
      </w:r>
      <w:r w:rsidR="002735B9" w:rsidRPr="00F35F10">
        <w:rPr>
          <w:rFonts w:ascii="Times New Roman" w:hAnsi="Times New Roman" w:cs="Times New Roman"/>
          <w:i/>
          <w:iCs/>
          <w:sz w:val="24"/>
          <w:szCs w:val="24"/>
        </w:rPr>
        <w:t xml:space="preserve">(Marcel </w:t>
      </w:r>
      <w:proofErr w:type="spellStart"/>
      <w:r w:rsidR="00A77344" w:rsidRPr="00F35F10">
        <w:rPr>
          <w:rFonts w:ascii="Times New Roman" w:hAnsi="Times New Roman" w:cs="Times New Roman"/>
          <w:i/>
          <w:iCs/>
          <w:sz w:val="24"/>
          <w:szCs w:val="24"/>
        </w:rPr>
        <w:t>Vysocký</w:t>
      </w:r>
      <w:proofErr w:type="spellEnd"/>
      <w:r w:rsidR="002735B9" w:rsidRPr="00F35F1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39F419B" w14:textId="5B48CEE1" w:rsidR="0073363B" w:rsidRPr="00F35F10" w:rsidRDefault="0073363B" w:rsidP="0073363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35F10">
        <w:rPr>
          <w:rFonts w:ascii="Times New Roman" w:hAnsi="Times New Roman" w:cs="Times New Roman"/>
          <w:sz w:val="24"/>
          <w:szCs w:val="24"/>
        </w:rPr>
        <w:t xml:space="preserve">Všeobecná charakteristika dohovoru, analýza jednotlivých práv a slobôd v ňom upravených, obsah individuálnej sťažnosti a proces jej prerokovávania pred Európskym súdom pre ľudské práva. </w:t>
      </w:r>
    </w:p>
    <w:p w14:paraId="50A952E5" w14:textId="172347C4" w:rsidR="0073363B" w:rsidRPr="00F35F10" w:rsidRDefault="00CF05CC" w:rsidP="0073363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F10">
        <w:rPr>
          <w:rFonts w:ascii="Times New Roman" w:hAnsi="Times New Roman" w:cs="Times New Roman"/>
          <w:b/>
          <w:bCs/>
          <w:sz w:val="24"/>
          <w:szCs w:val="24"/>
        </w:rPr>
        <w:t>Cezhraničné aspekty rodinného práva</w:t>
      </w:r>
      <w:r w:rsidRPr="00F35F10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ED4942" w:rsidRPr="00F35F10">
        <w:rPr>
          <w:rFonts w:ascii="Times New Roman" w:hAnsi="Times New Roman" w:cs="Times New Roman"/>
          <w:i/>
          <w:iCs/>
          <w:sz w:val="24"/>
          <w:szCs w:val="24"/>
        </w:rPr>
        <w:t xml:space="preserve">Dominika </w:t>
      </w:r>
      <w:proofErr w:type="spellStart"/>
      <w:r w:rsidR="00ED4942" w:rsidRPr="00F35F10">
        <w:rPr>
          <w:rFonts w:ascii="Times New Roman" w:hAnsi="Times New Roman" w:cs="Times New Roman"/>
          <w:i/>
          <w:iCs/>
          <w:sz w:val="24"/>
          <w:szCs w:val="24"/>
        </w:rPr>
        <w:t>Moravcová</w:t>
      </w:r>
      <w:proofErr w:type="spellEnd"/>
      <w:r w:rsidRPr="00F35F1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73363B" w:rsidRPr="00F35F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9B49427" w14:textId="7FD95BF2" w:rsidR="00A77344" w:rsidRPr="00F35F10" w:rsidRDefault="00CF05CC" w:rsidP="0073363B">
      <w:pPr>
        <w:pStyle w:val="Odsekzoznamu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F10">
        <w:rPr>
          <w:rFonts w:ascii="Times New Roman" w:hAnsi="Times New Roman" w:cs="Times New Roman"/>
          <w:sz w:val="24"/>
          <w:szCs w:val="24"/>
        </w:rPr>
        <w:t xml:space="preserve">Medzinárodné únosy detí a zabezpečenie návratu dieťaťa. Cezhraničné adopcie. Uzatvorenie manželstva s cudzím prvkom a cezhraničný rozvod. Náhradné materstvo v medzinárodnom kontexte. </w:t>
      </w:r>
      <w:r w:rsidR="00E92D5B" w:rsidRPr="00F35F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A77344" w:rsidRPr="00F35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87436"/>
    <w:multiLevelType w:val="hybridMultilevel"/>
    <w:tmpl w:val="B8E6C720"/>
    <w:lvl w:ilvl="0" w:tplc="96920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B5CE6"/>
    <w:multiLevelType w:val="hybridMultilevel"/>
    <w:tmpl w:val="FB2E97D4"/>
    <w:lvl w:ilvl="0" w:tplc="30E060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AD"/>
    <w:rsid w:val="001258D4"/>
    <w:rsid w:val="002124EB"/>
    <w:rsid w:val="002735B9"/>
    <w:rsid w:val="003B7509"/>
    <w:rsid w:val="00412AB5"/>
    <w:rsid w:val="00481DC9"/>
    <w:rsid w:val="0073363B"/>
    <w:rsid w:val="007B0D6E"/>
    <w:rsid w:val="008B6652"/>
    <w:rsid w:val="008D3BCA"/>
    <w:rsid w:val="008F2C48"/>
    <w:rsid w:val="00A77344"/>
    <w:rsid w:val="00A81DC0"/>
    <w:rsid w:val="00AB5767"/>
    <w:rsid w:val="00AC31FA"/>
    <w:rsid w:val="00AD3E4D"/>
    <w:rsid w:val="00B346AD"/>
    <w:rsid w:val="00B83827"/>
    <w:rsid w:val="00C16AFD"/>
    <w:rsid w:val="00C72332"/>
    <w:rsid w:val="00CA6064"/>
    <w:rsid w:val="00CC7CF1"/>
    <w:rsid w:val="00CE29CB"/>
    <w:rsid w:val="00CF05CC"/>
    <w:rsid w:val="00DD100E"/>
    <w:rsid w:val="00E129D2"/>
    <w:rsid w:val="00E92D5B"/>
    <w:rsid w:val="00EC2D9F"/>
    <w:rsid w:val="00ED4942"/>
    <w:rsid w:val="00F35F10"/>
    <w:rsid w:val="00F741AF"/>
    <w:rsid w:val="00F7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1117"/>
  <w15:docId w15:val="{62AEC89C-ACA0-4105-BE3A-3B08F94B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346AD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EC2D9F"/>
    <w:rPr>
      <w:b/>
      <w:bCs/>
    </w:rPr>
  </w:style>
  <w:style w:type="paragraph" w:styleId="Hlavika">
    <w:name w:val="header"/>
    <w:basedOn w:val="Normlny"/>
    <w:link w:val="HlavikaChar"/>
    <w:semiHidden/>
    <w:unhideWhenUsed/>
    <w:rsid w:val="008F2C48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semiHidden/>
    <w:rsid w:val="008F2C48"/>
    <w:rPr>
      <w:rFonts w:ascii="Arial" w:eastAsia="Times New Roman" w:hAnsi="Arial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KMPaEP</dc:creator>
  <cp:keywords/>
  <dc:description/>
  <cp:lastModifiedBy>Tibenská Zuzana</cp:lastModifiedBy>
  <cp:revision>6</cp:revision>
  <cp:lastPrinted>2020-02-25T09:20:00Z</cp:lastPrinted>
  <dcterms:created xsi:type="dcterms:W3CDTF">2024-04-18T07:36:00Z</dcterms:created>
  <dcterms:modified xsi:type="dcterms:W3CDTF">2024-04-24T11:00:00Z</dcterms:modified>
</cp:coreProperties>
</file>