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77429" w14:textId="77777777" w:rsidR="00197594" w:rsidRDefault="0019759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Arial"/>
          <w:b/>
          <w:bCs/>
          <w:sz w:val="26"/>
          <w:szCs w:val="26"/>
        </w:rPr>
      </w:pPr>
    </w:p>
    <w:p w14:paraId="12A82B5E" w14:textId="44A497BA" w:rsidR="00E15770" w:rsidRDefault="00197594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  <w:sz w:val="36"/>
          <w:szCs w:val="36"/>
        </w:rPr>
      </w:pPr>
      <w:r w:rsidRPr="00B672E3">
        <w:rPr>
          <w:rFonts w:ascii="Barlow" w:hAnsi="Barlow" w:cs="Arial"/>
          <w:b/>
          <w:bCs/>
          <w:sz w:val="26"/>
          <w:szCs w:val="26"/>
        </w:rPr>
        <w:t xml:space="preserve">Poplatok za kurz: </w:t>
      </w:r>
      <w:r w:rsidR="00AE4284">
        <w:rPr>
          <w:rFonts w:ascii="Barlow" w:hAnsi="Barlow" w:cs="Arial"/>
          <w:b/>
          <w:bCs/>
          <w:sz w:val="26"/>
          <w:szCs w:val="26"/>
        </w:rPr>
        <w:t>6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0 €, invalidní dôchodcovia a dôchodcovia nad 65 rokov </w:t>
      </w:r>
      <w:r w:rsidR="00AE4284">
        <w:rPr>
          <w:rFonts w:ascii="Barlow" w:hAnsi="Barlow" w:cs="Arial"/>
          <w:b/>
          <w:bCs/>
          <w:sz w:val="26"/>
          <w:szCs w:val="26"/>
        </w:rPr>
        <w:t>–</w:t>
      </w:r>
      <w:r w:rsidRPr="00B672E3">
        <w:rPr>
          <w:rFonts w:ascii="Barlow" w:hAnsi="Barlow" w:cs="Arial"/>
          <w:b/>
          <w:bCs/>
          <w:sz w:val="26"/>
          <w:szCs w:val="26"/>
        </w:rPr>
        <w:t xml:space="preserve"> </w:t>
      </w:r>
      <w:r w:rsidR="00AE4284">
        <w:rPr>
          <w:rFonts w:ascii="Barlow" w:hAnsi="Barlow" w:cs="Arial"/>
          <w:b/>
          <w:bCs/>
          <w:sz w:val="26"/>
          <w:szCs w:val="26"/>
        </w:rPr>
        <w:t>5</w:t>
      </w:r>
      <w:r w:rsidR="003961D1">
        <w:rPr>
          <w:rFonts w:ascii="Barlow" w:hAnsi="Barlow" w:cs="Arial"/>
          <w:b/>
          <w:bCs/>
          <w:sz w:val="26"/>
          <w:szCs w:val="26"/>
        </w:rPr>
        <w:t>0</w:t>
      </w:r>
      <w:r w:rsidR="00AE4284">
        <w:rPr>
          <w:rFonts w:ascii="Barlow" w:hAnsi="Barlow" w:cs="Arial"/>
          <w:b/>
          <w:bCs/>
          <w:sz w:val="26"/>
          <w:szCs w:val="26"/>
        </w:rPr>
        <w:t xml:space="preserve"> €</w:t>
      </w:r>
    </w:p>
    <w:p w14:paraId="48497CB1" w14:textId="7FC5C627" w:rsidR="00E15770" w:rsidRPr="00197594" w:rsidRDefault="00D8553B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sz w:val="28"/>
          <w:szCs w:val="28"/>
        </w:rPr>
      </w:pPr>
      <w:r w:rsidRPr="007C0E6B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>Názov</w:t>
      </w:r>
      <w:r w:rsidR="004368EE" w:rsidRPr="00197594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>:</w:t>
      </w:r>
      <w:r w:rsidRPr="00197594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 xml:space="preserve"> </w:t>
      </w:r>
      <w:r w:rsidR="00A7092D" w:rsidRPr="00197594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 xml:space="preserve">Tvorba </w:t>
      </w:r>
      <w:r w:rsidR="009A46B9" w:rsidRPr="00197594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 xml:space="preserve"> práv</w:t>
      </w:r>
      <w:r w:rsidR="00A7092D" w:rsidRPr="00197594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>a</w:t>
      </w:r>
      <w:r w:rsidR="00926A27" w:rsidRPr="00197594">
        <w:rPr>
          <w:rFonts w:ascii="Barlow" w:hAnsi="Barlow" w:cs="Open Sans"/>
          <w:b/>
          <w:bCs/>
          <w:color w:val="1F4E79" w:themeColor="accent5" w:themeShade="80"/>
          <w:sz w:val="28"/>
          <w:szCs w:val="28"/>
        </w:rPr>
        <w:t xml:space="preserve"> </w:t>
      </w:r>
    </w:p>
    <w:p w14:paraId="71A8C7C8" w14:textId="1CA9DB44" w:rsidR="00D8553B" w:rsidRPr="00CC4848" w:rsidRDefault="00D8553B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7C0E6B">
        <w:rPr>
          <w:rFonts w:ascii="Barlow" w:hAnsi="Barlow" w:cs="Open Sans"/>
          <w:b/>
          <w:bCs/>
          <w:color w:val="1F4E79" w:themeColor="accent5" w:themeShade="80"/>
        </w:rPr>
        <w:t>Fakulta:</w:t>
      </w:r>
      <w:r w:rsidRPr="0098748C">
        <w:rPr>
          <w:rFonts w:ascii="Barlow" w:hAnsi="Barlow" w:cs="Open Sans"/>
          <w:b/>
          <w:bCs/>
        </w:rPr>
        <w:t xml:space="preserve"> </w:t>
      </w:r>
      <w:r w:rsidR="00BA0205" w:rsidRPr="00CC4848">
        <w:rPr>
          <w:rFonts w:ascii="Barlow" w:hAnsi="Barlow" w:cs="Open Sans"/>
        </w:rPr>
        <w:t xml:space="preserve">Právnická fakulta </w:t>
      </w:r>
    </w:p>
    <w:p w14:paraId="1998DE24" w14:textId="77777777" w:rsidR="00F7091F" w:rsidRDefault="00D8553B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7C0E6B">
        <w:rPr>
          <w:rFonts w:ascii="Barlow" w:hAnsi="Barlow" w:cs="Open Sans"/>
          <w:b/>
          <w:bCs/>
          <w:color w:val="1F4E79" w:themeColor="accent5" w:themeShade="80"/>
        </w:rPr>
        <w:t>Miesto konania</w:t>
      </w:r>
      <w:r w:rsidRPr="0098748C">
        <w:rPr>
          <w:rFonts w:ascii="Barlow" w:hAnsi="Barlow" w:cs="Open Sans"/>
          <w:b/>
          <w:bCs/>
        </w:rPr>
        <w:t xml:space="preserve">: </w:t>
      </w:r>
      <w:r w:rsidR="00926A27" w:rsidRPr="00CC4848">
        <w:rPr>
          <w:rFonts w:ascii="Barlow" w:hAnsi="Barlow" w:cs="Open Sans"/>
        </w:rPr>
        <w:t>P</w:t>
      </w:r>
      <w:r w:rsidR="00CC4848">
        <w:rPr>
          <w:rFonts w:ascii="Barlow" w:hAnsi="Barlow" w:cs="Open Sans"/>
        </w:rPr>
        <w:t>rávnická fakulta</w:t>
      </w:r>
      <w:r w:rsidR="00926A27" w:rsidRPr="00CC4848">
        <w:rPr>
          <w:rFonts w:ascii="Barlow" w:hAnsi="Barlow" w:cs="Open Sans"/>
        </w:rPr>
        <w:t xml:space="preserve">, Kollárova 10, Trnava </w:t>
      </w:r>
    </w:p>
    <w:p w14:paraId="2FCF5307" w14:textId="03CAE3FC" w:rsidR="007A1542" w:rsidRPr="00F7091F" w:rsidRDefault="007A1542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</w:rPr>
      </w:pPr>
      <w:r w:rsidRPr="007C0E6B">
        <w:rPr>
          <w:rFonts w:ascii="Barlow" w:hAnsi="Barlow" w:cs="Open Sans"/>
          <w:b/>
          <w:bCs/>
          <w:color w:val="1F4E79" w:themeColor="accent5" w:themeShade="80"/>
        </w:rPr>
        <w:t>Predpokladaný deň a čas výučby</w:t>
      </w:r>
      <w:r w:rsidRPr="00A7092D">
        <w:rPr>
          <w:rFonts w:ascii="Barlow" w:hAnsi="Barlow" w:cs="Open Sans"/>
          <w:b/>
          <w:bCs/>
        </w:rPr>
        <w:t xml:space="preserve">: </w:t>
      </w:r>
      <w:r w:rsidRPr="00007809">
        <w:rPr>
          <w:rFonts w:ascii="Barlow" w:hAnsi="Barlow" w:cs="Open Sans"/>
          <w:b/>
          <w:bCs/>
        </w:rPr>
        <w:t>stred</w:t>
      </w:r>
      <w:r w:rsidR="009C6582" w:rsidRPr="00007809">
        <w:rPr>
          <w:rFonts w:ascii="Barlow" w:hAnsi="Barlow" w:cs="Open Sans"/>
          <w:b/>
          <w:bCs/>
        </w:rPr>
        <w:t>a</w:t>
      </w:r>
      <w:r w:rsidRPr="00007809">
        <w:rPr>
          <w:rFonts w:ascii="Barlow" w:hAnsi="Barlow" w:cs="Open Sans"/>
          <w:b/>
          <w:bCs/>
        </w:rPr>
        <w:t>, (od 15:45 hod. do 17:15 hod.)</w:t>
      </w:r>
    </w:p>
    <w:p w14:paraId="04E49EC9" w14:textId="3C2539AC" w:rsidR="008D671A" w:rsidRPr="00AF4D9C" w:rsidRDefault="00D8553B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/>
          <w:b/>
          <w:bCs/>
          <w:color w:val="000000" w:themeColor="text1"/>
        </w:rPr>
      </w:pPr>
      <w:r w:rsidRPr="00100AD2">
        <w:rPr>
          <w:rFonts w:ascii="Barlow" w:hAnsi="Barlow" w:cs="Open Sans"/>
          <w:b/>
          <w:bCs/>
          <w:color w:val="1F4E79" w:themeColor="accent5" w:themeShade="80"/>
        </w:rPr>
        <w:t xml:space="preserve">Rozsah vzdelávacieho </w:t>
      </w:r>
      <w:r w:rsidR="00815000" w:rsidRPr="00100AD2">
        <w:rPr>
          <w:rFonts w:ascii="Barlow" w:hAnsi="Barlow" w:cs="Open Sans"/>
          <w:b/>
          <w:bCs/>
          <w:color w:val="1F4E79" w:themeColor="accent5" w:themeShade="80"/>
        </w:rPr>
        <w:t>programu</w:t>
      </w:r>
      <w:r w:rsidRPr="00100AD2">
        <w:rPr>
          <w:rFonts w:ascii="Barlow" w:hAnsi="Barlow" w:cs="Open Sans"/>
          <w:b/>
          <w:bCs/>
          <w:color w:val="1F4E79" w:themeColor="accent5" w:themeShade="80"/>
        </w:rPr>
        <w:t xml:space="preserve"> </w:t>
      </w:r>
      <w:r w:rsidR="00AC78AE" w:rsidRPr="00100AD2">
        <w:rPr>
          <w:rFonts w:ascii="Barlow" w:hAnsi="Barlow" w:cs="Open Sans"/>
          <w:b/>
          <w:bCs/>
        </w:rPr>
        <w:t xml:space="preserve">– </w:t>
      </w:r>
      <w:r w:rsidR="008D671A" w:rsidRPr="00100AD2">
        <w:rPr>
          <w:rFonts w:ascii="Barlow" w:hAnsi="Barlow"/>
          <w:b/>
          <w:bCs/>
          <w:color w:val="000000" w:themeColor="text1"/>
        </w:rPr>
        <w:t xml:space="preserve"> </w:t>
      </w:r>
      <w:r w:rsidR="008A79E2" w:rsidRPr="007A15CA">
        <w:rPr>
          <w:rFonts w:ascii="Barlow" w:hAnsi="Barlow"/>
          <w:b/>
          <w:color w:val="000000" w:themeColor="text1"/>
        </w:rPr>
        <w:t xml:space="preserve">jednoročný </w:t>
      </w:r>
      <w:r w:rsidR="008D671A" w:rsidRPr="007A15CA">
        <w:rPr>
          <w:rFonts w:ascii="Barlow" w:hAnsi="Barlow"/>
          <w:b/>
          <w:color w:val="000000" w:themeColor="text1"/>
        </w:rPr>
        <w:t>vzdeláva</w:t>
      </w:r>
      <w:r w:rsidR="00AE56DD" w:rsidRPr="007A15CA">
        <w:rPr>
          <w:rFonts w:ascii="Barlow" w:hAnsi="Barlow"/>
          <w:b/>
          <w:color w:val="000000" w:themeColor="text1"/>
        </w:rPr>
        <w:t>cí program</w:t>
      </w:r>
      <w:r w:rsidR="00AE56DD" w:rsidRPr="00100AD2">
        <w:rPr>
          <w:rFonts w:ascii="Barlow" w:hAnsi="Barlow"/>
          <w:bCs/>
          <w:color w:val="000000" w:themeColor="text1"/>
        </w:rPr>
        <w:t xml:space="preserve"> –</w:t>
      </w:r>
      <w:r w:rsidR="00AE0FE3">
        <w:rPr>
          <w:rFonts w:ascii="Barlow" w:hAnsi="Barlow"/>
          <w:bCs/>
          <w:color w:val="000000" w:themeColor="text1"/>
        </w:rPr>
        <w:t xml:space="preserve"> (10 prednášok po 2 vyučovacie hodiny) -</w:t>
      </w:r>
      <w:r w:rsidR="00AE56DD" w:rsidRPr="00100AD2">
        <w:rPr>
          <w:rFonts w:ascii="Barlow" w:hAnsi="Barlow"/>
          <w:bCs/>
          <w:color w:val="000000" w:themeColor="text1"/>
        </w:rPr>
        <w:t xml:space="preserve"> </w:t>
      </w:r>
      <w:r w:rsidR="00116F4E" w:rsidRPr="00100AD2">
        <w:rPr>
          <w:rFonts w:ascii="Barlow" w:hAnsi="Barlow"/>
          <w:color w:val="000000" w:themeColor="text1"/>
          <w:highlight w:val="yellow"/>
        </w:rPr>
        <w:t>5 prednášok (5x</w:t>
      </w:r>
      <w:r w:rsidR="00513E5A" w:rsidRPr="00100AD2">
        <w:rPr>
          <w:rFonts w:ascii="Barlow" w:hAnsi="Barlow"/>
          <w:color w:val="000000" w:themeColor="text1"/>
          <w:highlight w:val="yellow"/>
        </w:rPr>
        <w:t xml:space="preserve"> 2 vyučovacie hodiny</w:t>
      </w:r>
      <w:r w:rsidR="00116F4E" w:rsidRPr="00100AD2">
        <w:rPr>
          <w:rFonts w:ascii="Barlow" w:hAnsi="Barlow"/>
          <w:color w:val="000000" w:themeColor="text1"/>
          <w:highlight w:val="yellow"/>
        </w:rPr>
        <w:t>)</w:t>
      </w:r>
      <w:r w:rsidR="00116F4E" w:rsidRPr="00100AD2">
        <w:rPr>
          <w:rFonts w:ascii="Barlow" w:hAnsi="Barlow"/>
          <w:color w:val="000000" w:themeColor="text1"/>
        </w:rPr>
        <w:t xml:space="preserve"> </w:t>
      </w:r>
      <w:r w:rsidR="008D671A" w:rsidRPr="00100AD2">
        <w:rPr>
          <w:rFonts w:ascii="Barlow" w:hAnsi="Barlow"/>
          <w:b/>
          <w:color w:val="000000" w:themeColor="text1"/>
        </w:rPr>
        <w:t>v zimnom semestri</w:t>
      </w:r>
      <w:r w:rsidR="008D671A" w:rsidRPr="00100AD2">
        <w:rPr>
          <w:rFonts w:ascii="Barlow" w:hAnsi="Barlow"/>
          <w:bCs/>
          <w:color w:val="000000" w:themeColor="text1"/>
        </w:rPr>
        <w:t xml:space="preserve"> akademického roka 2026/2027 v mesiacoch október 2026 (dve prednášky), november 2026 (dve prednášky) a december 2026 (jedna prednáška) a </w:t>
      </w:r>
      <w:r w:rsidR="00C11569" w:rsidRPr="00100AD2">
        <w:rPr>
          <w:rFonts w:ascii="Barlow" w:hAnsi="Barlow"/>
          <w:color w:val="000000" w:themeColor="text1"/>
          <w:highlight w:val="yellow"/>
        </w:rPr>
        <w:t>5 prednášok (5x 2 vyučovacie hodiny)</w:t>
      </w:r>
      <w:r w:rsidR="00C11569" w:rsidRPr="00100AD2">
        <w:rPr>
          <w:rFonts w:ascii="Barlow" w:hAnsi="Barlow"/>
          <w:color w:val="000000" w:themeColor="text1"/>
        </w:rPr>
        <w:t xml:space="preserve"> </w:t>
      </w:r>
      <w:r w:rsidR="00C11569" w:rsidRPr="00100AD2">
        <w:rPr>
          <w:rFonts w:ascii="Barlow" w:hAnsi="Barlow"/>
          <w:b/>
          <w:color w:val="000000" w:themeColor="text1"/>
        </w:rPr>
        <w:t>v </w:t>
      </w:r>
      <w:r w:rsidR="00C11569">
        <w:rPr>
          <w:rFonts w:ascii="Barlow" w:hAnsi="Barlow"/>
          <w:b/>
          <w:color w:val="000000" w:themeColor="text1"/>
        </w:rPr>
        <w:t>let</w:t>
      </w:r>
      <w:r w:rsidR="00C11569" w:rsidRPr="00100AD2">
        <w:rPr>
          <w:rFonts w:ascii="Barlow" w:hAnsi="Barlow"/>
          <w:b/>
          <w:color w:val="000000" w:themeColor="text1"/>
        </w:rPr>
        <w:t>nom semestri</w:t>
      </w:r>
      <w:r w:rsidR="00C11569" w:rsidRPr="00100AD2">
        <w:rPr>
          <w:rFonts w:ascii="Barlow" w:hAnsi="Barlow"/>
          <w:bCs/>
          <w:color w:val="000000" w:themeColor="text1"/>
        </w:rPr>
        <w:t xml:space="preserve"> </w:t>
      </w:r>
      <w:r w:rsidR="00C11569">
        <w:rPr>
          <w:rFonts w:ascii="Barlow" w:hAnsi="Barlow"/>
          <w:bCs/>
          <w:color w:val="000000" w:themeColor="text1"/>
        </w:rPr>
        <w:t xml:space="preserve"> a</w:t>
      </w:r>
      <w:r w:rsidR="008D671A" w:rsidRPr="00100AD2">
        <w:rPr>
          <w:rFonts w:ascii="Barlow" w:hAnsi="Barlow"/>
          <w:bCs/>
          <w:color w:val="000000" w:themeColor="text1"/>
        </w:rPr>
        <w:t>kademického roka 2026/2027 sa výučba navrhuje uskutočniť v mesiacoch február 2027 (dve prednášky), marec 2027 (dve prednášky) a apríl 2027 (jedna prednáška).</w:t>
      </w:r>
    </w:p>
    <w:p w14:paraId="01F3C6BD" w14:textId="643B1CDA" w:rsidR="00FC12AB" w:rsidRPr="0098748C" w:rsidRDefault="00815000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F7091F">
        <w:rPr>
          <w:rFonts w:ascii="Barlow" w:hAnsi="Barlow" w:cs="Open Sans"/>
          <w:b/>
          <w:bCs/>
          <w:color w:val="1F4E79" w:themeColor="accent5" w:themeShade="80"/>
        </w:rPr>
        <w:t>Minimálny počet študujúcich</w:t>
      </w:r>
      <w:r w:rsidRPr="0098748C">
        <w:rPr>
          <w:rFonts w:ascii="Barlow" w:hAnsi="Barlow" w:cs="Open Sans"/>
          <w:b/>
          <w:bCs/>
        </w:rPr>
        <w:t xml:space="preserve">: </w:t>
      </w:r>
      <w:r w:rsidR="00B30F14" w:rsidRPr="00F7091F">
        <w:rPr>
          <w:rFonts w:ascii="Barlow" w:hAnsi="Barlow" w:cs="Open Sans"/>
        </w:rPr>
        <w:t>1</w:t>
      </w:r>
      <w:r w:rsidR="00F7091F">
        <w:rPr>
          <w:rFonts w:ascii="Barlow" w:hAnsi="Barlow" w:cs="Open Sans"/>
        </w:rPr>
        <w:t>2</w:t>
      </w:r>
    </w:p>
    <w:p w14:paraId="033624A2" w14:textId="4BA1B247" w:rsidR="00D8553B" w:rsidRPr="0098748C" w:rsidRDefault="00815000" w:rsidP="00F7091F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</w:rPr>
      </w:pPr>
      <w:r w:rsidRPr="00F7091F">
        <w:rPr>
          <w:rFonts w:ascii="Barlow" w:hAnsi="Barlow" w:cs="Open Sans"/>
          <w:b/>
          <w:bCs/>
          <w:color w:val="1F4E79" w:themeColor="accent5" w:themeShade="80"/>
        </w:rPr>
        <w:t>Maximálny počet študujúcich</w:t>
      </w:r>
      <w:r w:rsidRPr="0098748C">
        <w:rPr>
          <w:rFonts w:ascii="Barlow" w:hAnsi="Barlow" w:cs="Open Sans"/>
          <w:b/>
          <w:bCs/>
        </w:rPr>
        <w:t xml:space="preserve">: </w:t>
      </w:r>
      <w:r w:rsidR="00CC4848" w:rsidRPr="00F7091F">
        <w:rPr>
          <w:rFonts w:ascii="Barlow" w:hAnsi="Barlow" w:cs="Open Sans"/>
        </w:rPr>
        <w:t>35</w:t>
      </w:r>
    </w:p>
    <w:p w14:paraId="2BCBE672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Barlow" w:hAnsi="Barlow"/>
          <w:color w:val="000000" w:themeColor="text1"/>
        </w:rPr>
      </w:pPr>
      <w:r w:rsidRPr="00FD05D7">
        <w:rPr>
          <w:rFonts w:ascii="Barlow" w:hAnsi="Barlow"/>
          <w:b/>
          <w:bCs/>
          <w:color w:val="000000" w:themeColor="text1"/>
        </w:rPr>
        <w:t xml:space="preserve">Cieľ vzdelávacieho programu: </w:t>
      </w:r>
      <w:r w:rsidRPr="00FD05D7">
        <w:rPr>
          <w:rFonts w:ascii="Barlow" w:hAnsi="Barlow"/>
          <w:color w:val="000000" w:themeColor="text1"/>
        </w:rPr>
        <w:t xml:space="preserve">Ako vzniká, mení sa a zaniká právny predpis? Kto rozhoduje o tom, čo ešte je </w:t>
      </w:r>
      <w:r w:rsidRPr="00FD05D7">
        <w:rPr>
          <w:rFonts w:ascii="Barlow" w:hAnsi="Barlow"/>
          <w:i/>
          <w:color w:val="000000" w:themeColor="text1"/>
        </w:rPr>
        <w:t>„právne“</w:t>
      </w:r>
      <w:r w:rsidRPr="00FD05D7">
        <w:rPr>
          <w:rFonts w:ascii="Barlow" w:hAnsi="Barlow"/>
          <w:color w:val="000000" w:themeColor="text1"/>
        </w:rPr>
        <w:t xml:space="preserve">, a čo už je </w:t>
      </w:r>
      <w:r w:rsidRPr="00FD05D7">
        <w:rPr>
          <w:rFonts w:ascii="Barlow" w:hAnsi="Barlow"/>
          <w:i/>
          <w:color w:val="000000" w:themeColor="text1"/>
        </w:rPr>
        <w:t>„protiprávne“</w:t>
      </w:r>
      <w:r w:rsidRPr="00FD05D7">
        <w:rPr>
          <w:rFonts w:ascii="Barlow" w:hAnsi="Barlow"/>
          <w:color w:val="000000" w:themeColor="text1"/>
        </w:rPr>
        <w:t xml:space="preserve">? Predmet </w:t>
      </w:r>
      <w:r w:rsidRPr="00FD05D7">
        <w:rPr>
          <w:rFonts w:ascii="Barlow" w:hAnsi="Barlow"/>
          <w:i/>
          <w:color w:val="000000" w:themeColor="text1"/>
        </w:rPr>
        <w:t>„Tvorba práva“</w:t>
      </w:r>
      <w:r w:rsidRPr="00FD05D7">
        <w:rPr>
          <w:rFonts w:ascii="Barlow" w:hAnsi="Barlow"/>
          <w:color w:val="000000" w:themeColor="text1"/>
        </w:rPr>
        <w:t xml:space="preserve"> Vás zavedie do zákulisia právotvorného procesu v Slovenskej republike, a to od prvotnej myšlienky až po vyhlásenie právneho predpisu v Zbierke zákonov Slovenskej republiky a nadobudnutie platnosti a účinnosti právneho predpisu. Predmet </w:t>
      </w:r>
      <w:r w:rsidRPr="00FD05D7">
        <w:rPr>
          <w:rFonts w:ascii="Barlow" w:hAnsi="Barlow"/>
          <w:i/>
          <w:color w:val="000000" w:themeColor="text1"/>
        </w:rPr>
        <w:t>„Tvorba práva“</w:t>
      </w:r>
      <w:r w:rsidRPr="00FD05D7">
        <w:rPr>
          <w:rFonts w:ascii="Barlow" w:hAnsi="Barlow"/>
          <w:color w:val="000000" w:themeColor="text1"/>
        </w:rPr>
        <w:t xml:space="preserve"> nie je o ústavno-právnej teórii, predmet </w:t>
      </w:r>
      <w:r w:rsidRPr="00FD05D7">
        <w:rPr>
          <w:rFonts w:ascii="Barlow" w:hAnsi="Barlow"/>
          <w:i/>
          <w:color w:val="000000" w:themeColor="text1"/>
        </w:rPr>
        <w:t>„Tvorba práva“</w:t>
      </w:r>
      <w:r w:rsidRPr="00FD05D7">
        <w:rPr>
          <w:rFonts w:ascii="Barlow" w:hAnsi="Barlow"/>
          <w:color w:val="000000" w:themeColor="text1"/>
        </w:rPr>
        <w:t xml:space="preserve"> je o legislatívno-technickej praxi.</w:t>
      </w:r>
    </w:p>
    <w:p w14:paraId="3D861CA1" w14:textId="77777777" w:rsidR="00747F3F" w:rsidRDefault="00747F3F" w:rsidP="00747F3F">
      <w:pPr>
        <w:rPr>
          <w:rFonts w:ascii="Barlow" w:hAnsi="Barlow"/>
          <w:b/>
          <w:bCs/>
          <w:color w:val="000000" w:themeColor="text1"/>
          <w:sz w:val="24"/>
          <w:szCs w:val="24"/>
        </w:rPr>
      </w:pPr>
    </w:p>
    <w:p w14:paraId="6CA674A9" w14:textId="041F3D7A" w:rsidR="00FD05D7" w:rsidRPr="00415D6E" w:rsidRDefault="00FD05D7" w:rsidP="00747F3F">
      <w:pPr>
        <w:rPr>
          <w:rFonts w:ascii="Barlow" w:eastAsia="Times New Roman" w:hAnsi="Barlow" w:cs="Times New Roman"/>
          <w:b/>
          <w:bCs/>
          <w:color w:val="1F4E79" w:themeColor="accent5" w:themeShade="80"/>
          <w:sz w:val="24"/>
          <w:szCs w:val="24"/>
          <w:lang w:eastAsia="sk-SK"/>
        </w:rPr>
      </w:pPr>
      <w:r w:rsidRPr="00415D6E">
        <w:rPr>
          <w:rFonts w:ascii="Barlow" w:hAnsi="Barlow"/>
          <w:b/>
          <w:bCs/>
          <w:color w:val="1F4E79" w:themeColor="accent5" w:themeShade="80"/>
          <w:sz w:val="24"/>
          <w:szCs w:val="24"/>
          <w:u w:val="single"/>
        </w:rPr>
        <w:t xml:space="preserve">Zoznam prednášok predmetu </w:t>
      </w:r>
      <w:r w:rsidRPr="00415D6E">
        <w:rPr>
          <w:rFonts w:ascii="Barlow" w:hAnsi="Barlow"/>
          <w:b/>
          <w:bCs/>
          <w:i/>
          <w:iCs/>
          <w:color w:val="1F4E79" w:themeColor="accent5" w:themeShade="80"/>
          <w:sz w:val="24"/>
          <w:szCs w:val="24"/>
          <w:u w:val="single"/>
        </w:rPr>
        <w:t>„Tvorba práva“</w:t>
      </w:r>
      <w:r w:rsidRPr="00415D6E">
        <w:rPr>
          <w:rFonts w:ascii="Barlow" w:hAnsi="Barlow"/>
          <w:b/>
          <w:bCs/>
          <w:color w:val="1F4E79" w:themeColor="accent5" w:themeShade="80"/>
          <w:sz w:val="24"/>
          <w:szCs w:val="24"/>
          <w:u w:val="single"/>
        </w:rPr>
        <w:t xml:space="preserve"> v zimnom semestri akademického roka 2026/2027:</w:t>
      </w:r>
    </w:p>
    <w:p w14:paraId="48D676D9" w14:textId="77777777" w:rsidR="00FD05D7" w:rsidRPr="00FD05D7" w:rsidRDefault="00FD05D7" w:rsidP="00FD05D7">
      <w:pPr>
        <w:spacing w:after="0" w:line="276" w:lineRule="auto"/>
        <w:ind w:left="567" w:hanging="567"/>
        <w:contextualSpacing/>
        <w:jc w:val="both"/>
        <w:rPr>
          <w:rFonts w:ascii="Barlow" w:eastAsia="Times New Roman" w:hAnsi="Barlow" w:cs="Times New Roman"/>
          <w:color w:val="000000" w:themeColor="text1"/>
          <w:sz w:val="24"/>
          <w:szCs w:val="24"/>
          <w:lang w:eastAsia="sk-SK"/>
        </w:rPr>
      </w:pPr>
    </w:p>
    <w:p w14:paraId="45EE25F7" w14:textId="0650EEE5" w:rsidR="00FD05D7" w:rsidRPr="00415D6E" w:rsidRDefault="00FD05D7" w:rsidP="00415D6E">
      <w:pPr>
        <w:pStyle w:val="Odsekzoznamu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Tvorba práva v Slovenskej republike</w:t>
      </w:r>
    </w:p>
    <w:p w14:paraId="5C336173" w14:textId="77777777" w:rsidR="00FD05D7" w:rsidRPr="00FD05D7" w:rsidRDefault="00FD05D7" w:rsidP="00FD05D7">
      <w:pPr>
        <w:pStyle w:val="Odsekzoznamu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pramene tvorby práva v Slovenskej republike,</w:t>
      </w:r>
    </w:p>
    <w:p w14:paraId="215D43F5" w14:textId="54CD203A" w:rsidR="00FD05D7" w:rsidRPr="00415D6E" w:rsidRDefault="00FD05D7" w:rsidP="00FD05D7">
      <w:pPr>
        <w:pStyle w:val="Odsekzoznamu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produkty tvorby práva v Slovenskej republike.</w:t>
      </w:r>
    </w:p>
    <w:p w14:paraId="5C6832E1" w14:textId="2FA3D663" w:rsidR="00FD05D7" w:rsidRPr="00415D6E" w:rsidRDefault="00FD05D7" w:rsidP="00415D6E">
      <w:pPr>
        <w:pStyle w:val="Odsekzoznamu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Subjekty tvorby práva v Slovenskej republike</w:t>
      </w:r>
    </w:p>
    <w:p w14:paraId="2474C698" w14:textId="77777777" w:rsidR="00FD05D7" w:rsidRPr="00FD05D7" w:rsidRDefault="00FD05D7" w:rsidP="00FD05D7">
      <w:pPr>
        <w:pStyle w:val="Odsekzoznamu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Národná rada Slovenskej republiky,</w:t>
      </w:r>
    </w:p>
    <w:p w14:paraId="2EF37B6E" w14:textId="77777777" w:rsidR="00FD05D7" w:rsidRPr="00FD05D7" w:rsidRDefault="00FD05D7" w:rsidP="00FD05D7">
      <w:pPr>
        <w:pStyle w:val="Odsekzoznamu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vláda Slovenskej republiky,</w:t>
      </w:r>
    </w:p>
    <w:p w14:paraId="2ECE934C" w14:textId="592856FD" w:rsidR="00FD05D7" w:rsidRPr="00415D6E" w:rsidRDefault="00FD05D7" w:rsidP="00FD05D7">
      <w:pPr>
        <w:pStyle w:val="Odsekzoznamu"/>
        <w:numPr>
          <w:ilvl w:val="0"/>
          <w:numId w:val="1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ministerstvá a/alebo ostatné ústredné orgány štátnej správy Slovenskej republiky.</w:t>
      </w:r>
    </w:p>
    <w:p w14:paraId="7C7EB844" w14:textId="7A418DE9" w:rsidR="00FD05D7" w:rsidRPr="00415D6E" w:rsidRDefault="00FD05D7" w:rsidP="00415D6E">
      <w:pPr>
        <w:pStyle w:val="Odsekzoznamu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Štandardné procesy tvorby práva</w:t>
      </w:r>
    </w:p>
    <w:p w14:paraId="246FF068" w14:textId="77777777" w:rsidR="00FD05D7" w:rsidRPr="00FD05D7" w:rsidRDefault="00FD05D7" w:rsidP="00FD05D7">
      <w:pPr>
        <w:pStyle w:val="Odsekzoznamu"/>
        <w:numPr>
          <w:ilvl w:val="0"/>
          <w:numId w:val="4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lastRenderedPageBreak/>
        <w:t>ústavodarný proces,</w:t>
      </w:r>
    </w:p>
    <w:p w14:paraId="7566883D" w14:textId="77777777" w:rsidR="00FD05D7" w:rsidRPr="00FD05D7" w:rsidRDefault="00FD05D7" w:rsidP="00FD05D7">
      <w:pPr>
        <w:pStyle w:val="Odsekzoznamu"/>
        <w:numPr>
          <w:ilvl w:val="0"/>
          <w:numId w:val="4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ústavné zákonodarstvo,</w:t>
      </w:r>
    </w:p>
    <w:p w14:paraId="798590C8" w14:textId="77777777" w:rsidR="00FD05D7" w:rsidRPr="00FD05D7" w:rsidRDefault="00FD05D7" w:rsidP="00FD05D7">
      <w:pPr>
        <w:pStyle w:val="Odsekzoznamu"/>
        <w:numPr>
          <w:ilvl w:val="0"/>
          <w:numId w:val="4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zákonodarný proces,</w:t>
      </w:r>
    </w:p>
    <w:p w14:paraId="141035FB" w14:textId="77777777" w:rsidR="00FD05D7" w:rsidRPr="00FD05D7" w:rsidRDefault="00FD05D7" w:rsidP="00FD05D7">
      <w:pPr>
        <w:pStyle w:val="Odsekzoznamu"/>
        <w:numPr>
          <w:ilvl w:val="0"/>
          <w:numId w:val="4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legislatívny proces.</w:t>
      </w:r>
    </w:p>
    <w:p w14:paraId="4CF39242" w14:textId="77777777" w:rsidR="00FD05D7" w:rsidRPr="00FD05D7" w:rsidRDefault="00FD05D7" w:rsidP="00FD05D7">
      <w:pPr>
        <w:spacing w:after="0" w:line="276" w:lineRule="auto"/>
        <w:jc w:val="both"/>
        <w:rPr>
          <w:rFonts w:ascii="Barlow" w:eastAsia="Times New Roman" w:hAnsi="Barlow" w:cs="Times New Roman"/>
          <w:color w:val="000000" w:themeColor="text1"/>
          <w:sz w:val="24"/>
          <w:szCs w:val="24"/>
          <w:lang w:eastAsia="sk-SK"/>
        </w:rPr>
      </w:pPr>
    </w:p>
    <w:p w14:paraId="7FE5FEB0" w14:textId="783D8135" w:rsidR="00FD05D7" w:rsidRPr="00415D6E" w:rsidRDefault="00FD05D7" w:rsidP="00FD05D7">
      <w:pPr>
        <w:pStyle w:val="Odsekzoznamu"/>
        <w:numPr>
          <w:ilvl w:val="0"/>
          <w:numId w:val="2"/>
        </w:numPr>
        <w:tabs>
          <w:tab w:val="left" w:pos="567"/>
        </w:tabs>
        <w:spacing w:after="0" w:line="276" w:lineRule="auto"/>
        <w:ind w:left="567" w:hanging="567"/>
        <w:jc w:val="both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Neštandardné procesy tvorby práva</w:t>
      </w:r>
    </w:p>
    <w:p w14:paraId="35689D86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recepcia práva,</w:t>
      </w:r>
    </w:p>
    <w:p w14:paraId="096FF3A0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aproximácia práva,</w:t>
      </w:r>
    </w:p>
    <w:p w14:paraId="26E201B7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referendum,</w:t>
      </w:r>
    </w:p>
    <w:p w14:paraId="476892FC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ústavno-súdna tvorba práva.</w:t>
      </w:r>
    </w:p>
    <w:p w14:paraId="11DBAEA8" w14:textId="77777777" w:rsidR="00FD05D7" w:rsidRPr="00FD05D7" w:rsidRDefault="00FD05D7" w:rsidP="00FD05D7">
      <w:pPr>
        <w:tabs>
          <w:tab w:val="left" w:pos="567"/>
        </w:tabs>
        <w:spacing w:after="0" w:line="276" w:lineRule="auto"/>
        <w:jc w:val="both"/>
        <w:rPr>
          <w:rFonts w:ascii="Barlow" w:eastAsia="Times New Roman" w:hAnsi="Barlow"/>
          <w:b/>
          <w:bCs/>
          <w:color w:val="000000" w:themeColor="text1"/>
          <w:sz w:val="24"/>
          <w:szCs w:val="24"/>
          <w:lang w:eastAsia="sk-SK"/>
        </w:rPr>
      </w:pPr>
    </w:p>
    <w:p w14:paraId="206A3000" w14:textId="5A9D5424" w:rsidR="00FD05D7" w:rsidRPr="00415D6E" w:rsidRDefault="00FD05D7" w:rsidP="00415D6E">
      <w:pPr>
        <w:pStyle w:val="Odsekzoznamu"/>
        <w:numPr>
          <w:ilvl w:val="0"/>
          <w:numId w:val="2"/>
        </w:numPr>
        <w:spacing w:after="0" w:line="276" w:lineRule="auto"/>
        <w:ind w:left="567" w:hanging="567"/>
        <w:jc w:val="both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Štádia (etapy, respektíve fázy) tvorby práva</w:t>
      </w:r>
    </w:p>
    <w:p w14:paraId="24C03C34" w14:textId="77777777" w:rsidR="00FD05D7" w:rsidRPr="00FD05D7" w:rsidRDefault="00FD05D7" w:rsidP="00FD05D7">
      <w:pPr>
        <w:pStyle w:val="Odsekzoznamu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štádia (etapy, respektíve fázy) tvorby práva pri primárnych (originálnych) legislatívnych aktoch,</w:t>
      </w:r>
    </w:p>
    <w:p w14:paraId="7DD26650" w14:textId="77777777" w:rsidR="00FD05D7" w:rsidRPr="00FD05D7" w:rsidRDefault="00FD05D7" w:rsidP="00FD05D7">
      <w:pPr>
        <w:pStyle w:val="Odsekzoznamu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štádia (etapy, respektíve fázy) tvorby práva pri sekundárnych (delegovaných) legislatívnych aktoch,</w:t>
      </w:r>
    </w:p>
    <w:p w14:paraId="0BABF996" w14:textId="77777777" w:rsidR="00FD05D7" w:rsidRPr="00FD05D7" w:rsidRDefault="00FD05D7" w:rsidP="00FD05D7">
      <w:pPr>
        <w:pStyle w:val="Odsekzoznamu"/>
        <w:numPr>
          <w:ilvl w:val="0"/>
          <w:numId w:val="5"/>
        </w:numPr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hAnsi="Barlow"/>
          <w:bCs/>
        </w:rPr>
        <w:t xml:space="preserve">štádia (etapy, respektíve fázy) </w:t>
      </w:r>
      <w:r w:rsidRPr="00FD05D7">
        <w:rPr>
          <w:rFonts w:ascii="Barlow" w:eastAsia="Times New Roman" w:hAnsi="Barlow"/>
          <w:color w:val="000000" w:themeColor="text1"/>
          <w:lang w:eastAsia="sk-SK"/>
        </w:rPr>
        <w:t xml:space="preserve">tvorby práva </w:t>
      </w:r>
      <w:r w:rsidRPr="00FD05D7">
        <w:rPr>
          <w:rFonts w:ascii="Barlow" w:hAnsi="Barlow"/>
          <w:bCs/>
        </w:rPr>
        <w:t>pri terciárnych (determinovaných) legislatívnych aktoch.</w:t>
      </w:r>
    </w:p>
    <w:p w14:paraId="29589962" w14:textId="77777777" w:rsidR="00415D6E" w:rsidRDefault="00415D6E" w:rsidP="00415D6E">
      <w:pPr>
        <w:rPr>
          <w:rFonts w:ascii="Barlow" w:eastAsia="Times New Roman" w:hAnsi="Barlow" w:cs="Times New Roman"/>
          <w:b/>
          <w:bCs/>
          <w:color w:val="000000" w:themeColor="text1"/>
          <w:sz w:val="24"/>
          <w:szCs w:val="24"/>
          <w:lang w:eastAsia="sk-SK"/>
        </w:rPr>
      </w:pPr>
    </w:p>
    <w:p w14:paraId="170FDAF1" w14:textId="60D0123D" w:rsidR="00FD05D7" w:rsidRPr="00415D6E" w:rsidRDefault="00FD05D7" w:rsidP="00415D6E">
      <w:pPr>
        <w:rPr>
          <w:rFonts w:ascii="Barlow" w:eastAsia="Times New Roman" w:hAnsi="Barlow" w:cs="Times New Roman"/>
          <w:b/>
          <w:bCs/>
          <w:color w:val="1F4E79" w:themeColor="accent5" w:themeShade="80"/>
          <w:sz w:val="24"/>
          <w:szCs w:val="24"/>
          <w:lang w:eastAsia="sk-SK"/>
        </w:rPr>
      </w:pPr>
      <w:r w:rsidRPr="00415D6E">
        <w:rPr>
          <w:rFonts w:ascii="Barlow" w:hAnsi="Barlow"/>
          <w:b/>
          <w:bCs/>
          <w:color w:val="1F4E79" w:themeColor="accent5" w:themeShade="80"/>
          <w:sz w:val="24"/>
          <w:szCs w:val="24"/>
          <w:u w:val="single"/>
        </w:rPr>
        <w:t xml:space="preserve">Zoznam prednášok predmetu </w:t>
      </w:r>
      <w:r w:rsidRPr="00415D6E">
        <w:rPr>
          <w:rFonts w:ascii="Barlow" w:hAnsi="Barlow"/>
          <w:b/>
          <w:bCs/>
          <w:i/>
          <w:iCs/>
          <w:color w:val="1F4E79" w:themeColor="accent5" w:themeShade="80"/>
          <w:sz w:val="24"/>
          <w:szCs w:val="24"/>
          <w:u w:val="single"/>
        </w:rPr>
        <w:t>„Tvorba práva“</w:t>
      </w:r>
      <w:r w:rsidRPr="00415D6E">
        <w:rPr>
          <w:rFonts w:ascii="Barlow" w:hAnsi="Barlow"/>
          <w:b/>
          <w:bCs/>
          <w:color w:val="1F4E79" w:themeColor="accent5" w:themeShade="80"/>
          <w:sz w:val="24"/>
          <w:szCs w:val="24"/>
          <w:u w:val="single"/>
        </w:rPr>
        <w:t xml:space="preserve"> v letnom semestri akademického roka 2026/2027:</w:t>
      </w:r>
    </w:p>
    <w:p w14:paraId="564F0DF7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Barlow" w:hAnsi="Barlow"/>
          <w:color w:val="000000" w:themeColor="text1"/>
          <w:u w:val="single"/>
        </w:rPr>
      </w:pPr>
    </w:p>
    <w:p w14:paraId="387B7C68" w14:textId="2399027D" w:rsidR="00FD05D7" w:rsidRPr="00415D6E" w:rsidRDefault="00FD05D7" w:rsidP="00415D6E">
      <w:pPr>
        <w:pStyle w:val="Odsekzoznamu"/>
        <w:numPr>
          <w:ilvl w:val="0"/>
          <w:numId w:val="6"/>
        </w:numPr>
        <w:spacing w:after="0" w:line="276" w:lineRule="auto"/>
        <w:ind w:left="567" w:hanging="567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Pripomienkové konanie na (medzi)rezortnej úrovni</w:t>
      </w:r>
    </w:p>
    <w:p w14:paraId="74608056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interné pripomienkové konanie,</w:t>
      </w:r>
    </w:p>
    <w:p w14:paraId="35286C49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záverečné legislatívno-technické posúdenie,</w:t>
      </w:r>
    </w:p>
    <w:p w14:paraId="6ACF0EE6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konzultácie s podnikateľským prostredím,</w:t>
      </w:r>
    </w:p>
    <w:p w14:paraId="247B7A5A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predbežné pripomienkové konanie,</w:t>
      </w:r>
    </w:p>
    <w:p w14:paraId="30119EA5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záverečné posúdenie vybraných vplyvov,</w:t>
      </w:r>
    </w:p>
    <w:p w14:paraId="2C076BE0" w14:textId="69AF656E" w:rsidR="00FD05D7" w:rsidRPr="00415D6E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medzirezortné pripomienkové konanie.</w:t>
      </w:r>
    </w:p>
    <w:p w14:paraId="3C3EF8D7" w14:textId="751CA462" w:rsidR="00FD05D7" w:rsidRPr="00415D6E" w:rsidRDefault="00FD05D7" w:rsidP="00415D6E">
      <w:pPr>
        <w:pStyle w:val="Odsekzoznamu"/>
        <w:numPr>
          <w:ilvl w:val="0"/>
          <w:numId w:val="6"/>
        </w:numPr>
        <w:spacing w:after="0" w:line="276" w:lineRule="auto"/>
        <w:ind w:left="567" w:hanging="567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Pripomienkové konanie na (poradno)vládnej úrovni</w:t>
      </w:r>
    </w:p>
    <w:p w14:paraId="56DD182F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pripomienkové konanie na úrovni poradných orgánov vlády Slovenskej republiky,</w:t>
      </w:r>
    </w:p>
    <w:p w14:paraId="3FD01DCB" w14:textId="109B216E" w:rsidR="00FD05D7" w:rsidRPr="00415D6E" w:rsidRDefault="00FD05D7" w:rsidP="00415D6E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pripomienkové konanie na úrovni vlády Slovenskej republiky.</w:t>
      </w:r>
    </w:p>
    <w:p w14:paraId="4B1C88D1" w14:textId="184139F9" w:rsidR="00FD05D7" w:rsidRPr="00415D6E" w:rsidRDefault="00FD05D7" w:rsidP="00415D6E">
      <w:pPr>
        <w:pStyle w:val="Odsekzoznamu"/>
        <w:numPr>
          <w:ilvl w:val="0"/>
          <w:numId w:val="6"/>
        </w:numPr>
        <w:spacing w:after="0" w:line="276" w:lineRule="auto"/>
        <w:ind w:left="567" w:hanging="567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Riadne, respektíve štandardné pripomienkové konanie na parlamentnej úrovni</w:t>
      </w:r>
    </w:p>
    <w:p w14:paraId="20B99138" w14:textId="77777777" w:rsidR="00FD05D7" w:rsidRPr="00FD05D7" w:rsidRDefault="00FD05D7" w:rsidP="00FD05D7">
      <w:pPr>
        <w:pStyle w:val="Odsekzoznamu"/>
        <w:numPr>
          <w:ilvl w:val="0"/>
          <w:numId w:val="3"/>
        </w:numPr>
        <w:spacing w:after="0" w:line="276" w:lineRule="auto"/>
        <w:ind w:left="851" w:hanging="284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predkladacia fáza,</w:t>
      </w:r>
    </w:p>
    <w:p w14:paraId="0A04DC47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oboznamujúca fáza,</w:t>
      </w:r>
    </w:p>
    <w:p w14:paraId="7783357B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upravujúca fáza,</w:t>
      </w:r>
    </w:p>
    <w:p w14:paraId="5B6D3351" w14:textId="184E45E2" w:rsidR="00FD05D7" w:rsidRPr="00415D6E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schvaľujúca fáza.</w:t>
      </w:r>
    </w:p>
    <w:p w14:paraId="1EA3E4CA" w14:textId="07FB0461" w:rsidR="00FD05D7" w:rsidRPr="00415D6E" w:rsidRDefault="00FD05D7" w:rsidP="00415D6E">
      <w:pPr>
        <w:pStyle w:val="Odsekzoznamu"/>
        <w:numPr>
          <w:ilvl w:val="0"/>
          <w:numId w:val="6"/>
        </w:numPr>
        <w:spacing w:after="0" w:line="276" w:lineRule="auto"/>
        <w:ind w:left="567" w:hanging="567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Mimoriadne, respektíve neštandardné pripomienkové konanie na parlamentnej úrovni</w:t>
      </w:r>
    </w:p>
    <w:p w14:paraId="108CDB66" w14:textId="77777777" w:rsidR="00FD05D7" w:rsidRPr="00FD05D7" w:rsidRDefault="00FD05D7" w:rsidP="00FD05D7">
      <w:pPr>
        <w:pStyle w:val="Odsekzoznamu"/>
        <w:numPr>
          <w:ilvl w:val="0"/>
          <w:numId w:val="3"/>
        </w:numPr>
        <w:spacing w:after="0" w:line="276" w:lineRule="auto"/>
        <w:ind w:left="851" w:hanging="284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>skrátené legislatívne konanie,</w:t>
      </w:r>
    </w:p>
    <w:p w14:paraId="06C98C82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lastRenderedPageBreak/>
        <w:t xml:space="preserve">tzv. </w:t>
      </w:r>
      <w:r w:rsidRPr="00FD05D7">
        <w:rPr>
          <w:rFonts w:ascii="Barlow" w:eastAsia="Times New Roman" w:hAnsi="Barlow"/>
          <w:i/>
          <w:iCs/>
          <w:color w:val="000000" w:themeColor="text1"/>
          <w:lang w:eastAsia="sk-SK"/>
        </w:rPr>
        <w:t>„nepriama“</w:t>
      </w:r>
      <w:r w:rsidRPr="00FD05D7">
        <w:rPr>
          <w:rFonts w:ascii="Barlow" w:eastAsia="Times New Roman" w:hAnsi="Barlow"/>
          <w:color w:val="000000" w:themeColor="text1"/>
          <w:lang w:eastAsia="sk-SK"/>
        </w:rPr>
        <w:t xml:space="preserve"> novelizácia právneho predpisu,</w:t>
      </w:r>
    </w:p>
    <w:p w14:paraId="5221E33C" w14:textId="46902B30" w:rsidR="00FD05D7" w:rsidRDefault="00FD05D7" w:rsidP="00415D6E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 xml:space="preserve">tzv. </w:t>
      </w:r>
      <w:r w:rsidRPr="00FD05D7">
        <w:rPr>
          <w:rFonts w:ascii="Barlow" w:eastAsia="Times New Roman" w:hAnsi="Barlow"/>
          <w:i/>
          <w:iCs/>
          <w:color w:val="000000" w:themeColor="text1"/>
          <w:lang w:eastAsia="sk-SK"/>
        </w:rPr>
        <w:t>„nesúvisiaca“</w:t>
      </w:r>
      <w:r w:rsidRPr="00FD05D7">
        <w:rPr>
          <w:rFonts w:ascii="Barlow" w:eastAsia="Times New Roman" w:hAnsi="Barlow"/>
          <w:color w:val="000000" w:themeColor="text1"/>
          <w:lang w:eastAsia="sk-SK"/>
        </w:rPr>
        <w:t xml:space="preserve"> novelizácia právneho predpisu (tzv. </w:t>
      </w:r>
      <w:r w:rsidRPr="00FD05D7">
        <w:rPr>
          <w:rFonts w:ascii="Barlow" w:eastAsia="Times New Roman" w:hAnsi="Barlow"/>
          <w:i/>
          <w:iCs/>
          <w:color w:val="000000" w:themeColor="text1"/>
          <w:lang w:eastAsia="sk-SK"/>
        </w:rPr>
        <w:t>„prílepok“</w:t>
      </w:r>
      <w:r w:rsidRPr="00FD05D7">
        <w:rPr>
          <w:rFonts w:ascii="Barlow" w:eastAsia="Times New Roman" w:hAnsi="Barlow"/>
          <w:color w:val="000000" w:themeColor="text1"/>
          <w:lang w:eastAsia="sk-SK"/>
        </w:rPr>
        <w:t>).</w:t>
      </w:r>
    </w:p>
    <w:p w14:paraId="6C34D295" w14:textId="77777777" w:rsidR="00184E8E" w:rsidRDefault="00184E8E" w:rsidP="00184E8E">
      <w:pPr>
        <w:tabs>
          <w:tab w:val="left" w:pos="851"/>
        </w:tabs>
        <w:spacing w:after="0" w:line="276" w:lineRule="auto"/>
        <w:jc w:val="both"/>
        <w:rPr>
          <w:rFonts w:ascii="Barlow" w:eastAsia="Times New Roman" w:hAnsi="Barlow"/>
          <w:color w:val="000000" w:themeColor="text1"/>
          <w:lang w:eastAsia="sk-SK"/>
        </w:rPr>
      </w:pPr>
    </w:p>
    <w:p w14:paraId="1DB44A25" w14:textId="77777777" w:rsidR="00184E8E" w:rsidRDefault="00184E8E" w:rsidP="00184E8E">
      <w:pPr>
        <w:tabs>
          <w:tab w:val="left" w:pos="851"/>
        </w:tabs>
        <w:spacing w:after="0" w:line="276" w:lineRule="auto"/>
        <w:jc w:val="both"/>
        <w:rPr>
          <w:rFonts w:ascii="Barlow" w:eastAsia="Times New Roman" w:hAnsi="Barlow"/>
          <w:color w:val="000000" w:themeColor="text1"/>
          <w:lang w:eastAsia="sk-SK"/>
        </w:rPr>
      </w:pPr>
    </w:p>
    <w:p w14:paraId="4CE09EC1" w14:textId="77777777" w:rsidR="00184E8E" w:rsidRPr="00184E8E" w:rsidRDefault="00184E8E" w:rsidP="00184E8E">
      <w:pPr>
        <w:tabs>
          <w:tab w:val="left" w:pos="851"/>
        </w:tabs>
        <w:spacing w:after="0" w:line="276" w:lineRule="auto"/>
        <w:jc w:val="both"/>
        <w:rPr>
          <w:rFonts w:ascii="Barlow" w:eastAsia="Times New Roman" w:hAnsi="Barlow"/>
          <w:color w:val="000000" w:themeColor="text1"/>
          <w:lang w:eastAsia="sk-SK"/>
        </w:rPr>
      </w:pPr>
    </w:p>
    <w:p w14:paraId="7917480A" w14:textId="77777777" w:rsidR="00FD05D7" w:rsidRPr="00FD05D7" w:rsidRDefault="00FD05D7" w:rsidP="00FD05D7">
      <w:pPr>
        <w:pStyle w:val="Odsekzoznamu"/>
        <w:numPr>
          <w:ilvl w:val="0"/>
          <w:numId w:val="6"/>
        </w:numPr>
        <w:spacing w:after="0" w:line="276" w:lineRule="auto"/>
        <w:ind w:left="567" w:hanging="567"/>
        <w:rPr>
          <w:rFonts w:ascii="Barlow" w:eastAsia="Times New Roman" w:hAnsi="Barlow"/>
          <w:b/>
          <w:bCs/>
          <w:color w:val="000000" w:themeColor="text1"/>
          <w:lang w:eastAsia="sk-SK"/>
        </w:rPr>
      </w:pPr>
      <w:r w:rsidRPr="00FD05D7">
        <w:rPr>
          <w:rFonts w:ascii="Barlow" w:eastAsia="Times New Roman" w:hAnsi="Barlow"/>
          <w:b/>
          <w:bCs/>
          <w:color w:val="000000" w:themeColor="text1"/>
          <w:lang w:eastAsia="sk-SK"/>
        </w:rPr>
        <w:t>Pripomienkové konanie na prezidentskej úrovni</w:t>
      </w:r>
    </w:p>
    <w:p w14:paraId="10983BA1" w14:textId="0709743A" w:rsidR="00FD05D7" w:rsidRPr="00184E8E" w:rsidRDefault="00FD05D7" w:rsidP="00184E8E">
      <w:pPr>
        <w:pStyle w:val="Odsekzoznamu"/>
        <w:numPr>
          <w:ilvl w:val="0"/>
          <w:numId w:val="7"/>
        </w:numPr>
        <w:spacing w:after="0" w:line="276" w:lineRule="auto"/>
        <w:rPr>
          <w:rFonts w:ascii="Barlow" w:eastAsia="Times New Roman" w:hAnsi="Barlow"/>
          <w:color w:val="000000" w:themeColor="text1"/>
          <w:lang w:eastAsia="sk-SK"/>
        </w:rPr>
      </w:pPr>
      <w:r w:rsidRPr="00184E8E">
        <w:rPr>
          <w:rFonts w:ascii="Barlow" w:eastAsia="Times New Roman" w:hAnsi="Barlow"/>
          <w:color w:val="000000" w:themeColor="text1"/>
          <w:lang w:eastAsia="sk-SK"/>
        </w:rPr>
        <w:t xml:space="preserve">tzv. </w:t>
      </w:r>
      <w:r w:rsidRPr="00184E8E">
        <w:rPr>
          <w:rFonts w:ascii="Barlow" w:eastAsia="Times New Roman" w:hAnsi="Barlow"/>
          <w:i/>
          <w:iCs/>
          <w:color w:val="000000" w:themeColor="text1"/>
          <w:lang w:eastAsia="sk-SK"/>
        </w:rPr>
        <w:t>„vetovacie“</w:t>
      </w:r>
      <w:r w:rsidRPr="00184E8E">
        <w:rPr>
          <w:rFonts w:ascii="Barlow" w:eastAsia="Times New Roman" w:hAnsi="Barlow"/>
          <w:color w:val="000000" w:themeColor="text1"/>
          <w:lang w:eastAsia="sk-SK"/>
        </w:rPr>
        <w:t xml:space="preserve"> oprávnenie prezidenta Slovenskej republiky,</w:t>
      </w:r>
    </w:p>
    <w:p w14:paraId="3B344AAF" w14:textId="77777777" w:rsidR="00FD05D7" w:rsidRPr="00FD05D7" w:rsidRDefault="00FD05D7" w:rsidP="00FD05D7">
      <w:pPr>
        <w:pStyle w:val="Odsekzoznamu"/>
        <w:numPr>
          <w:ilvl w:val="0"/>
          <w:numId w:val="3"/>
        </w:numPr>
        <w:tabs>
          <w:tab w:val="left" w:pos="851"/>
        </w:tabs>
        <w:spacing w:after="0" w:line="276" w:lineRule="auto"/>
        <w:ind w:left="851" w:hanging="284"/>
        <w:jc w:val="both"/>
        <w:rPr>
          <w:rFonts w:ascii="Barlow" w:eastAsia="Times New Roman" w:hAnsi="Barlow"/>
          <w:color w:val="000000" w:themeColor="text1"/>
          <w:lang w:eastAsia="sk-SK"/>
        </w:rPr>
      </w:pPr>
      <w:r w:rsidRPr="00FD05D7">
        <w:rPr>
          <w:rFonts w:ascii="Barlow" w:eastAsia="Times New Roman" w:hAnsi="Barlow"/>
          <w:color w:val="000000" w:themeColor="text1"/>
          <w:lang w:eastAsia="sk-SK"/>
        </w:rPr>
        <w:t xml:space="preserve">tzv. </w:t>
      </w:r>
      <w:r w:rsidRPr="00FD05D7">
        <w:rPr>
          <w:rFonts w:ascii="Barlow" w:eastAsia="Times New Roman" w:hAnsi="Barlow"/>
          <w:i/>
          <w:iCs/>
          <w:color w:val="000000" w:themeColor="text1"/>
          <w:lang w:eastAsia="sk-SK"/>
        </w:rPr>
        <w:t>„žalovacie“</w:t>
      </w:r>
      <w:r w:rsidRPr="00FD05D7">
        <w:rPr>
          <w:rFonts w:ascii="Barlow" w:eastAsia="Times New Roman" w:hAnsi="Barlow"/>
          <w:color w:val="000000" w:themeColor="text1"/>
          <w:lang w:eastAsia="sk-SK"/>
        </w:rPr>
        <w:t xml:space="preserve"> oprávnenie prezidenta Slovenskej republiky.</w:t>
      </w:r>
    </w:p>
    <w:p w14:paraId="6021E215" w14:textId="77777777" w:rsidR="00FD05D7" w:rsidRPr="00FD05D7" w:rsidRDefault="00FD05D7" w:rsidP="00FD05D7">
      <w:pPr>
        <w:tabs>
          <w:tab w:val="left" w:pos="851"/>
        </w:tabs>
        <w:spacing w:after="0" w:line="276" w:lineRule="auto"/>
        <w:jc w:val="both"/>
        <w:rPr>
          <w:rFonts w:ascii="Barlow" w:eastAsia="Times New Roman" w:hAnsi="Barlow" w:cs="Times New Roman"/>
          <w:color w:val="000000" w:themeColor="text1"/>
          <w:sz w:val="24"/>
          <w:szCs w:val="24"/>
          <w:lang w:eastAsia="sk-SK"/>
        </w:rPr>
      </w:pPr>
    </w:p>
    <w:p w14:paraId="6BCCC74F" w14:textId="118978F9" w:rsidR="00FD05D7" w:rsidRPr="006B0007" w:rsidRDefault="00FD05D7" w:rsidP="00184E8E">
      <w:pPr>
        <w:rPr>
          <w:rFonts w:ascii="Barlow" w:eastAsia="Times New Roman" w:hAnsi="Barlow" w:cs="Times New Roman"/>
          <w:b/>
          <w:color w:val="000000" w:themeColor="text1"/>
          <w:sz w:val="24"/>
          <w:szCs w:val="24"/>
          <w:lang w:eastAsia="sk-SK"/>
        </w:rPr>
      </w:pPr>
      <w:r w:rsidRPr="006B0007">
        <w:rPr>
          <w:rFonts w:ascii="Barlow" w:hAnsi="Barlow"/>
          <w:color w:val="000000" w:themeColor="text1"/>
          <w:sz w:val="24"/>
          <w:szCs w:val="24"/>
        </w:rPr>
        <w:t>Vyučujúci:</w:t>
      </w:r>
      <w:r w:rsidRPr="00FD05D7">
        <w:rPr>
          <w:rFonts w:ascii="Barlow" w:hAnsi="Barlow"/>
          <w:b/>
          <w:bCs/>
          <w:color w:val="000000" w:themeColor="text1"/>
          <w:sz w:val="24"/>
          <w:szCs w:val="24"/>
        </w:rPr>
        <w:t xml:space="preserve"> </w:t>
      </w:r>
      <w:r w:rsidRPr="006B0007">
        <w:rPr>
          <w:rFonts w:ascii="Barlow" w:hAnsi="Barlow"/>
          <w:b/>
          <w:color w:val="000000" w:themeColor="text1"/>
          <w:sz w:val="24"/>
          <w:szCs w:val="24"/>
        </w:rPr>
        <w:t>JUDr. Marek Gunič</w:t>
      </w:r>
      <w:r w:rsidRPr="006B0007">
        <w:rPr>
          <w:rStyle w:val="Odkaznapoznmkupodiarou"/>
          <w:rFonts w:ascii="Barlow" w:hAnsi="Barlow"/>
          <w:b/>
          <w:color w:val="000000" w:themeColor="text1"/>
          <w:sz w:val="24"/>
          <w:szCs w:val="24"/>
        </w:rPr>
        <w:footnoteReference w:id="1"/>
      </w:r>
      <w:r w:rsidRPr="006B0007">
        <w:rPr>
          <w:rFonts w:ascii="Barlow" w:hAnsi="Barlow"/>
          <w:b/>
          <w:color w:val="000000" w:themeColor="text1"/>
          <w:sz w:val="24"/>
          <w:szCs w:val="24"/>
        </w:rPr>
        <w:t>)</w:t>
      </w:r>
    </w:p>
    <w:p w14:paraId="2A07025C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708" w:firstLine="426"/>
        <w:jc w:val="both"/>
        <w:rPr>
          <w:rFonts w:ascii="Barlow" w:hAnsi="Barlow"/>
          <w:bCs/>
          <w:color w:val="000000" w:themeColor="text1"/>
        </w:rPr>
      </w:pPr>
      <w:r w:rsidRPr="00FD05D7">
        <w:rPr>
          <w:rFonts w:ascii="Barlow" w:hAnsi="Barlow"/>
          <w:bCs/>
          <w:color w:val="000000" w:themeColor="text1"/>
        </w:rPr>
        <w:t xml:space="preserve"> študent doktorandského štúdia v študijnom odbore </w:t>
      </w:r>
      <w:r w:rsidRPr="00FD05D7">
        <w:rPr>
          <w:rFonts w:ascii="Barlow" w:hAnsi="Barlow"/>
          <w:bCs/>
          <w:i/>
          <w:color w:val="000000" w:themeColor="text1"/>
        </w:rPr>
        <w:t>„právo“</w:t>
      </w:r>
    </w:p>
    <w:p w14:paraId="69F2432F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="Barlow" w:hAnsi="Barlow"/>
          <w:bCs/>
          <w:i/>
          <w:color w:val="000000" w:themeColor="text1"/>
        </w:rPr>
      </w:pPr>
      <w:r w:rsidRPr="00FD05D7">
        <w:rPr>
          <w:rFonts w:ascii="Barlow" w:hAnsi="Barlow"/>
          <w:bCs/>
          <w:color w:val="000000" w:themeColor="text1"/>
        </w:rPr>
        <w:t xml:space="preserve"> študent doktorandského štúdia v študijnom programe </w:t>
      </w:r>
      <w:r w:rsidRPr="00FD05D7">
        <w:rPr>
          <w:rFonts w:ascii="Barlow" w:hAnsi="Barlow"/>
          <w:bCs/>
          <w:i/>
          <w:color w:val="000000" w:themeColor="text1"/>
        </w:rPr>
        <w:t xml:space="preserve">„teória a dejiny štátu   </w:t>
      </w:r>
    </w:p>
    <w:p w14:paraId="0E085205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="Barlow" w:hAnsi="Barlow"/>
          <w:bCs/>
          <w:i/>
          <w:color w:val="000000" w:themeColor="text1"/>
        </w:rPr>
      </w:pPr>
      <w:r w:rsidRPr="00FD05D7">
        <w:rPr>
          <w:rFonts w:ascii="Barlow" w:hAnsi="Barlow"/>
          <w:bCs/>
          <w:i/>
          <w:color w:val="000000" w:themeColor="text1"/>
        </w:rPr>
        <w:t xml:space="preserve"> a práva“ </w:t>
      </w:r>
    </w:p>
    <w:p w14:paraId="703F4B87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="Barlow" w:hAnsi="Barlow"/>
          <w:bCs/>
          <w:iCs/>
          <w:color w:val="000000" w:themeColor="text1"/>
        </w:rPr>
      </w:pPr>
      <w:r w:rsidRPr="00FD05D7">
        <w:rPr>
          <w:rFonts w:ascii="Barlow" w:hAnsi="Barlow"/>
          <w:bCs/>
          <w:i/>
          <w:color w:val="000000" w:themeColor="text1"/>
        </w:rPr>
        <w:t xml:space="preserve"> </w:t>
      </w:r>
      <w:r w:rsidRPr="00FD05D7">
        <w:rPr>
          <w:rFonts w:ascii="Barlow" w:hAnsi="Barlow"/>
          <w:bCs/>
          <w:iCs/>
          <w:color w:val="000000" w:themeColor="text1"/>
        </w:rPr>
        <w:t>školiteľ na Katedre teórie práva a ústavného práva</w:t>
      </w:r>
    </w:p>
    <w:p w14:paraId="47415F59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="Barlow" w:hAnsi="Barlow"/>
          <w:bCs/>
          <w:color w:val="000000" w:themeColor="text1"/>
        </w:rPr>
      </w:pPr>
      <w:r w:rsidRPr="00FD05D7">
        <w:rPr>
          <w:rFonts w:ascii="Barlow" w:hAnsi="Barlow"/>
          <w:bCs/>
          <w:color w:val="000000" w:themeColor="text1"/>
        </w:rPr>
        <w:t xml:space="preserve"> pedagóg Ústavu klinického vzdelávania</w:t>
      </w:r>
    </w:p>
    <w:p w14:paraId="31F3A2FD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="Barlow" w:hAnsi="Barlow"/>
          <w:bCs/>
          <w:color w:val="000000" w:themeColor="text1"/>
        </w:rPr>
      </w:pPr>
      <w:r w:rsidRPr="00FD05D7">
        <w:rPr>
          <w:rFonts w:ascii="Barlow" w:hAnsi="Barlow"/>
          <w:bCs/>
          <w:color w:val="000000" w:themeColor="text1"/>
        </w:rPr>
        <w:t xml:space="preserve"> Právnická fakulta Trnavskej univerzity v Trnave</w:t>
      </w:r>
    </w:p>
    <w:p w14:paraId="6AC08C97" w14:textId="77777777" w:rsidR="00FD05D7" w:rsidRPr="00FD05D7" w:rsidRDefault="00FD05D7" w:rsidP="00FD05D7">
      <w:pPr>
        <w:pStyle w:val="Normlnywebov"/>
        <w:shd w:val="clear" w:color="auto" w:fill="FFFFFF"/>
        <w:spacing w:before="0" w:beforeAutospacing="0" w:after="0" w:afterAutospacing="0" w:line="276" w:lineRule="auto"/>
        <w:ind w:left="1134"/>
        <w:jc w:val="both"/>
        <w:rPr>
          <w:rFonts w:ascii="Barlow" w:hAnsi="Barlow"/>
          <w:bCs/>
          <w:color w:val="000000" w:themeColor="text1"/>
        </w:rPr>
      </w:pPr>
      <w:r w:rsidRPr="00FD05D7">
        <w:rPr>
          <w:rFonts w:ascii="Barlow" w:hAnsi="Barlow"/>
          <w:bCs/>
          <w:color w:val="000000" w:themeColor="text1"/>
        </w:rPr>
        <w:t xml:space="preserve"> e-mailová adresa: </w:t>
      </w:r>
      <w:hyperlink r:id="rId8" w:history="1">
        <w:r w:rsidRPr="00FD05D7">
          <w:rPr>
            <w:rStyle w:val="Hypertextovprepojenie"/>
            <w:rFonts w:ascii="Barlow" w:hAnsi="Barlow"/>
            <w:bCs/>
          </w:rPr>
          <w:t>marek.gunic@truni.sk</w:t>
        </w:r>
      </w:hyperlink>
    </w:p>
    <w:p w14:paraId="076D732B" w14:textId="77777777" w:rsidR="008D3518" w:rsidRPr="00FD05D7" w:rsidRDefault="008D3518" w:rsidP="008D3518">
      <w:pPr>
        <w:pStyle w:val="Normlnywebov"/>
        <w:shd w:val="clear" w:color="auto" w:fill="FFFFFF"/>
        <w:spacing w:before="0" w:beforeAutospacing="0" w:after="0" w:afterAutospacing="0" w:line="276" w:lineRule="auto"/>
        <w:jc w:val="both"/>
        <w:rPr>
          <w:rFonts w:ascii="Barlow" w:hAnsi="Barlow"/>
          <w:b/>
          <w:bCs/>
          <w:color w:val="000000" w:themeColor="text1"/>
        </w:rPr>
      </w:pPr>
    </w:p>
    <w:p w14:paraId="43EF4CD1" w14:textId="77777777" w:rsidR="00A7092D" w:rsidRPr="00FD05D7" w:rsidRDefault="00A7092D" w:rsidP="00D8553B">
      <w:pPr>
        <w:pStyle w:val="Normlnywebov"/>
        <w:shd w:val="clear" w:color="auto" w:fill="FFFFFF"/>
        <w:spacing w:before="0" w:beforeAutospacing="0" w:after="0" w:afterAutospacing="0" w:line="360" w:lineRule="auto"/>
        <w:jc w:val="both"/>
        <w:rPr>
          <w:rFonts w:ascii="Barlow" w:hAnsi="Barlow" w:cs="Open Sans"/>
          <w:b/>
          <w:bCs/>
          <w:color w:val="35457C"/>
        </w:rPr>
      </w:pPr>
    </w:p>
    <w:sectPr w:rsidR="00A7092D" w:rsidRPr="00FD05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93A3" w14:textId="77777777" w:rsidR="005F0AFB" w:rsidRDefault="005F0AFB" w:rsidP="00E15770">
      <w:pPr>
        <w:spacing w:after="0" w:line="240" w:lineRule="auto"/>
      </w:pPr>
      <w:r>
        <w:separator/>
      </w:r>
    </w:p>
  </w:endnote>
  <w:endnote w:type="continuationSeparator" w:id="0">
    <w:p w14:paraId="2A5F307C" w14:textId="77777777" w:rsidR="005F0AFB" w:rsidRDefault="005F0AFB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EndPr/>
    <w:sdtContent>
      <w:p w14:paraId="083BE5BC" w14:textId="02068673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926A27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1367A" w14:textId="77777777" w:rsidR="005F0AFB" w:rsidRDefault="005F0AFB" w:rsidP="00E15770">
      <w:pPr>
        <w:spacing w:after="0" w:line="240" w:lineRule="auto"/>
      </w:pPr>
      <w:r>
        <w:separator/>
      </w:r>
    </w:p>
  </w:footnote>
  <w:footnote w:type="continuationSeparator" w:id="0">
    <w:p w14:paraId="1216CA6A" w14:textId="77777777" w:rsidR="005F0AFB" w:rsidRDefault="005F0AFB" w:rsidP="00E15770">
      <w:pPr>
        <w:spacing w:after="0" w:line="240" w:lineRule="auto"/>
      </w:pPr>
      <w:r>
        <w:continuationSeparator/>
      </w:r>
    </w:p>
  </w:footnote>
  <w:footnote w:id="1">
    <w:p w14:paraId="77DE5E09" w14:textId="77777777" w:rsidR="00FD05D7" w:rsidRPr="0050108A" w:rsidRDefault="00FD05D7" w:rsidP="00FD05D7">
      <w:pPr>
        <w:pStyle w:val="Textpoznmkypodiarou"/>
        <w:jc w:val="both"/>
        <w:rPr>
          <w:rFonts w:ascii="Times New Roman" w:hAnsi="Times New Roman" w:cs="Times New Roman"/>
        </w:rPr>
      </w:pPr>
      <w:r w:rsidRPr="0050108A">
        <w:rPr>
          <w:rStyle w:val="Odkaznapoznmkupodiarou"/>
          <w:rFonts w:ascii="Times New Roman" w:hAnsi="Times New Roman" w:cs="Times New Roman"/>
        </w:rPr>
        <w:footnoteRef/>
      </w:r>
      <w:r w:rsidRPr="0050108A">
        <w:rPr>
          <w:rFonts w:ascii="Times New Roman" w:hAnsi="Times New Roman" w:cs="Times New Roman"/>
        </w:rPr>
        <w:t>) A zároveň, generálny štátny radca na odbore vládnej a parlamentnej agendy Ministerstva investícií,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0108A">
        <w:rPr>
          <w:rFonts w:ascii="Times New Roman" w:hAnsi="Times New Roman" w:cs="Times New Roman"/>
        </w:rPr>
        <w:t>regionálneho rozvoja a informatizácie Slovenskej republiky</w:t>
      </w:r>
      <w:r>
        <w:rPr>
          <w:rFonts w:ascii="Times New Roman" w:hAnsi="Times New Roman" w:cs="Times New Roman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02F4"/>
    <w:multiLevelType w:val="hybridMultilevel"/>
    <w:tmpl w:val="F68AC772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335F9"/>
    <w:multiLevelType w:val="hybridMultilevel"/>
    <w:tmpl w:val="67C6A0A8"/>
    <w:lvl w:ilvl="0" w:tplc="F33A823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81D97"/>
    <w:multiLevelType w:val="hybridMultilevel"/>
    <w:tmpl w:val="B1F474B4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36B76"/>
    <w:multiLevelType w:val="hybridMultilevel"/>
    <w:tmpl w:val="67C6A0A8"/>
    <w:lvl w:ilvl="0" w:tplc="FFFFFFF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630DF"/>
    <w:multiLevelType w:val="hybridMultilevel"/>
    <w:tmpl w:val="5DACF0E4"/>
    <w:lvl w:ilvl="0" w:tplc="808E5EEE">
      <w:start w:val="5"/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B796B"/>
    <w:multiLevelType w:val="hybridMultilevel"/>
    <w:tmpl w:val="C61A704E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B3686"/>
    <w:multiLevelType w:val="hybridMultilevel"/>
    <w:tmpl w:val="CA3CFC70"/>
    <w:lvl w:ilvl="0" w:tplc="73A64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421291">
    <w:abstractNumId w:val="6"/>
  </w:num>
  <w:num w:numId="2" w16cid:durableId="1377857345">
    <w:abstractNumId w:val="1"/>
  </w:num>
  <w:num w:numId="3" w16cid:durableId="1484394138">
    <w:abstractNumId w:val="0"/>
  </w:num>
  <w:num w:numId="4" w16cid:durableId="297417423">
    <w:abstractNumId w:val="5"/>
  </w:num>
  <w:num w:numId="5" w16cid:durableId="368920391">
    <w:abstractNumId w:val="2"/>
  </w:num>
  <w:num w:numId="6" w16cid:durableId="1451821249">
    <w:abstractNumId w:val="3"/>
  </w:num>
  <w:num w:numId="7" w16cid:durableId="16593854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0B"/>
    <w:rsid w:val="00000659"/>
    <w:rsid w:val="00007809"/>
    <w:rsid w:val="0003255E"/>
    <w:rsid w:val="000539B2"/>
    <w:rsid w:val="000B7D45"/>
    <w:rsid w:val="000C5A78"/>
    <w:rsid w:val="000E437B"/>
    <w:rsid w:val="00100AD2"/>
    <w:rsid w:val="00105DE4"/>
    <w:rsid w:val="0011641A"/>
    <w:rsid w:val="00116F4E"/>
    <w:rsid w:val="00150EBC"/>
    <w:rsid w:val="00152A3C"/>
    <w:rsid w:val="001663F7"/>
    <w:rsid w:val="00184E8E"/>
    <w:rsid w:val="00197594"/>
    <w:rsid w:val="00290F15"/>
    <w:rsid w:val="003961D1"/>
    <w:rsid w:val="003A37A4"/>
    <w:rsid w:val="003E2FC2"/>
    <w:rsid w:val="003F37AA"/>
    <w:rsid w:val="0040613D"/>
    <w:rsid w:val="00415D6E"/>
    <w:rsid w:val="004368EE"/>
    <w:rsid w:val="00437366"/>
    <w:rsid w:val="00447200"/>
    <w:rsid w:val="00462571"/>
    <w:rsid w:val="00486534"/>
    <w:rsid w:val="00496EE4"/>
    <w:rsid w:val="004B2FFE"/>
    <w:rsid w:val="004B7256"/>
    <w:rsid w:val="004C7142"/>
    <w:rsid w:val="004D4CE1"/>
    <w:rsid w:val="004E1B99"/>
    <w:rsid w:val="004E6A09"/>
    <w:rsid w:val="005126EE"/>
    <w:rsid w:val="00513E5A"/>
    <w:rsid w:val="005459CF"/>
    <w:rsid w:val="00570318"/>
    <w:rsid w:val="00582B04"/>
    <w:rsid w:val="005A456A"/>
    <w:rsid w:val="005E65E9"/>
    <w:rsid w:val="005F0AFB"/>
    <w:rsid w:val="005F6D10"/>
    <w:rsid w:val="00621F97"/>
    <w:rsid w:val="00661D88"/>
    <w:rsid w:val="00687522"/>
    <w:rsid w:val="006B0007"/>
    <w:rsid w:val="007055F9"/>
    <w:rsid w:val="00723198"/>
    <w:rsid w:val="007238EC"/>
    <w:rsid w:val="00747F3F"/>
    <w:rsid w:val="00756CD7"/>
    <w:rsid w:val="00770603"/>
    <w:rsid w:val="00774453"/>
    <w:rsid w:val="007814E7"/>
    <w:rsid w:val="007A04E6"/>
    <w:rsid w:val="007A1542"/>
    <w:rsid w:val="007A15CA"/>
    <w:rsid w:val="007A360C"/>
    <w:rsid w:val="007C0E6B"/>
    <w:rsid w:val="007F7D1F"/>
    <w:rsid w:val="00802D0F"/>
    <w:rsid w:val="00815000"/>
    <w:rsid w:val="00820135"/>
    <w:rsid w:val="0084443D"/>
    <w:rsid w:val="00871D30"/>
    <w:rsid w:val="008735F9"/>
    <w:rsid w:val="00894733"/>
    <w:rsid w:val="008A79E2"/>
    <w:rsid w:val="008B4381"/>
    <w:rsid w:val="008D3518"/>
    <w:rsid w:val="008D48C0"/>
    <w:rsid w:val="008D671A"/>
    <w:rsid w:val="008D7050"/>
    <w:rsid w:val="009005D2"/>
    <w:rsid w:val="00926A27"/>
    <w:rsid w:val="00934891"/>
    <w:rsid w:val="00951BF4"/>
    <w:rsid w:val="00960072"/>
    <w:rsid w:val="0098748C"/>
    <w:rsid w:val="009A46B9"/>
    <w:rsid w:val="009C6582"/>
    <w:rsid w:val="009E2243"/>
    <w:rsid w:val="00A43062"/>
    <w:rsid w:val="00A7092D"/>
    <w:rsid w:val="00AB7D0C"/>
    <w:rsid w:val="00AC3CBC"/>
    <w:rsid w:val="00AC78AE"/>
    <w:rsid w:val="00AE0FE3"/>
    <w:rsid w:val="00AE4284"/>
    <w:rsid w:val="00AE56DD"/>
    <w:rsid w:val="00AF0B6F"/>
    <w:rsid w:val="00AF4D9C"/>
    <w:rsid w:val="00B30F14"/>
    <w:rsid w:val="00B77E8A"/>
    <w:rsid w:val="00BA0205"/>
    <w:rsid w:val="00BA60BF"/>
    <w:rsid w:val="00BB22A2"/>
    <w:rsid w:val="00BF1BAC"/>
    <w:rsid w:val="00C0248E"/>
    <w:rsid w:val="00C11569"/>
    <w:rsid w:val="00C95D5A"/>
    <w:rsid w:val="00C97C1A"/>
    <w:rsid w:val="00CA7FB9"/>
    <w:rsid w:val="00CC4848"/>
    <w:rsid w:val="00D21A0C"/>
    <w:rsid w:val="00D26725"/>
    <w:rsid w:val="00D3694E"/>
    <w:rsid w:val="00D4327E"/>
    <w:rsid w:val="00D6174A"/>
    <w:rsid w:val="00D815C4"/>
    <w:rsid w:val="00D8553B"/>
    <w:rsid w:val="00DA1E6F"/>
    <w:rsid w:val="00DD69BA"/>
    <w:rsid w:val="00E15770"/>
    <w:rsid w:val="00E34466"/>
    <w:rsid w:val="00E7780B"/>
    <w:rsid w:val="00EE44F0"/>
    <w:rsid w:val="00F16B7D"/>
    <w:rsid w:val="00F25AFB"/>
    <w:rsid w:val="00F55FDD"/>
    <w:rsid w:val="00F63661"/>
    <w:rsid w:val="00F7091F"/>
    <w:rsid w:val="00F90D1E"/>
    <w:rsid w:val="00FC12AB"/>
    <w:rsid w:val="00FD05D7"/>
    <w:rsid w:val="00FD196A"/>
    <w:rsid w:val="00FE0096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uiPriority w:val="34"/>
    <w:qFormat/>
    <w:rsid w:val="00FD05D7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D05D7"/>
    <w:rPr>
      <w:color w:val="0563C1" w:themeColor="hyperlink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05D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05D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05D7"/>
    <w:rPr>
      <w:vertAlign w:val="superscript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FD05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5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gunic@truni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A8C3-7CEB-422A-BB8E-6D900274E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5</cp:revision>
  <dcterms:created xsi:type="dcterms:W3CDTF">2026-04-23T06:31:00Z</dcterms:created>
  <dcterms:modified xsi:type="dcterms:W3CDTF">2026-04-24T09:01:00Z</dcterms:modified>
</cp:coreProperties>
</file>