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5EFE" w14:textId="77777777" w:rsidR="002F5444" w:rsidRDefault="002F5444" w:rsidP="002F5444">
      <w:pPr>
        <w:pStyle w:val="Normlnywebov"/>
        <w:shd w:val="clear" w:color="auto" w:fill="FFFFFF"/>
        <w:spacing w:line="360" w:lineRule="auto"/>
        <w:rPr>
          <w:rFonts w:ascii="Barlow" w:hAnsi="Barlow" w:cs="Arial"/>
          <w:b/>
          <w:bCs/>
          <w:sz w:val="26"/>
          <w:szCs w:val="26"/>
        </w:rPr>
      </w:pPr>
    </w:p>
    <w:p w14:paraId="1B9A1DB1" w14:textId="4CCE6214" w:rsidR="00805E99" w:rsidRPr="002F5444" w:rsidRDefault="002F5444" w:rsidP="002F5444">
      <w:pPr>
        <w:pStyle w:val="Normlnywebov"/>
        <w:shd w:val="clear" w:color="auto" w:fill="FFFFFF"/>
        <w:spacing w:line="360" w:lineRule="auto"/>
        <w:rPr>
          <w:rFonts w:ascii="Barlow" w:hAnsi="Barlow" w:cs="Arial"/>
          <w:b/>
          <w:bCs/>
          <w:sz w:val="26"/>
          <w:szCs w:val="26"/>
        </w:rPr>
      </w:pPr>
      <w:r>
        <w:rPr>
          <w:rFonts w:ascii="Barlow" w:hAnsi="Barlow" w:cs="Arial"/>
          <w:b/>
          <w:bCs/>
          <w:sz w:val="26"/>
          <w:szCs w:val="26"/>
        </w:rPr>
        <w:t>P</w:t>
      </w:r>
      <w:r w:rsidRPr="00B672E3">
        <w:rPr>
          <w:rFonts w:ascii="Barlow" w:hAnsi="Barlow" w:cs="Arial"/>
          <w:b/>
          <w:bCs/>
          <w:sz w:val="26"/>
          <w:szCs w:val="26"/>
        </w:rPr>
        <w:t>oplatok za kurz</w:t>
      </w:r>
      <w:r>
        <w:rPr>
          <w:rFonts w:ascii="Barlow" w:hAnsi="Barlow" w:cs="Arial"/>
          <w:b/>
          <w:bCs/>
          <w:sz w:val="26"/>
          <w:szCs w:val="26"/>
        </w:rPr>
        <w:t>:</w:t>
      </w:r>
      <w:r w:rsidRPr="00B672E3">
        <w:rPr>
          <w:rFonts w:ascii="Barlow" w:hAnsi="Barlow" w:cs="Arial"/>
          <w:b/>
          <w:bCs/>
          <w:sz w:val="26"/>
          <w:szCs w:val="26"/>
        </w:rPr>
        <w:t xml:space="preserve"> </w:t>
      </w:r>
      <w:r w:rsidR="006C0C6C">
        <w:rPr>
          <w:rFonts w:ascii="Barlow" w:hAnsi="Barlow" w:cs="Arial"/>
          <w:b/>
          <w:bCs/>
          <w:sz w:val="26"/>
          <w:szCs w:val="26"/>
        </w:rPr>
        <w:t>6</w:t>
      </w:r>
      <w:r w:rsidRPr="00B672E3">
        <w:rPr>
          <w:rFonts w:ascii="Barlow" w:hAnsi="Barlow" w:cs="Arial"/>
          <w:b/>
          <w:bCs/>
          <w:sz w:val="26"/>
          <w:szCs w:val="26"/>
        </w:rPr>
        <w:t>0 €, invalidní dôchodcovia a dôchodcovia nad 65 rokov</w:t>
      </w:r>
      <w:r>
        <w:rPr>
          <w:rFonts w:ascii="Barlow" w:hAnsi="Barlow" w:cs="Arial"/>
          <w:b/>
          <w:bCs/>
          <w:sz w:val="26"/>
          <w:szCs w:val="26"/>
        </w:rPr>
        <w:t>:</w:t>
      </w:r>
      <w:r w:rsidRPr="00B672E3">
        <w:rPr>
          <w:rFonts w:ascii="Barlow" w:hAnsi="Barlow" w:cs="Arial"/>
          <w:b/>
          <w:bCs/>
          <w:sz w:val="26"/>
          <w:szCs w:val="26"/>
        </w:rPr>
        <w:t xml:space="preserve"> </w:t>
      </w:r>
      <w:r>
        <w:rPr>
          <w:rFonts w:ascii="Barlow" w:hAnsi="Barlow" w:cs="Arial"/>
          <w:b/>
          <w:bCs/>
          <w:sz w:val="26"/>
          <w:szCs w:val="26"/>
        </w:rPr>
        <w:t>5</w:t>
      </w:r>
      <w:r w:rsidR="006C0C6C">
        <w:rPr>
          <w:rFonts w:ascii="Barlow" w:hAnsi="Barlow" w:cs="Arial"/>
          <w:b/>
          <w:bCs/>
          <w:sz w:val="26"/>
          <w:szCs w:val="26"/>
        </w:rPr>
        <w:t>0</w:t>
      </w:r>
      <w:r w:rsidRPr="00B672E3">
        <w:rPr>
          <w:rFonts w:ascii="Barlow" w:hAnsi="Barlow" w:cs="Arial"/>
          <w:b/>
          <w:bCs/>
          <w:sz w:val="26"/>
          <w:szCs w:val="26"/>
        </w:rPr>
        <w:t xml:space="preserve"> </w:t>
      </w:r>
      <w:r>
        <w:rPr>
          <w:rFonts w:ascii="Barlow" w:hAnsi="Barlow" w:cs="Arial"/>
          <w:b/>
          <w:bCs/>
          <w:sz w:val="26"/>
          <w:szCs w:val="26"/>
        </w:rPr>
        <w:t>€</w:t>
      </w:r>
    </w:p>
    <w:p w14:paraId="48497CB1" w14:textId="361E8FE8" w:rsidR="00E15770" w:rsidRPr="0036751E" w:rsidRDefault="00D8553B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</w:pPr>
      <w:r w:rsidRPr="0036751E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>Názov</w:t>
      </w:r>
      <w:r w:rsidR="004368EE" w:rsidRPr="0036751E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>:</w:t>
      </w:r>
      <w:r w:rsidRPr="0036751E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 xml:space="preserve"> </w:t>
      </w:r>
      <w:r w:rsidR="00DB2EC4" w:rsidRPr="0036751E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>T</w:t>
      </w:r>
      <w:r w:rsidR="007160D5" w:rsidRPr="0036751E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 xml:space="preserve">restné </w:t>
      </w:r>
      <w:r w:rsidR="005E0A51" w:rsidRPr="0036751E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>konanie v praxi</w:t>
      </w:r>
    </w:p>
    <w:p w14:paraId="71A8C7C8" w14:textId="1CA9DB44" w:rsidR="00D8553B" w:rsidRPr="00483B0C" w:rsidRDefault="00D8553B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36751E">
        <w:rPr>
          <w:rFonts w:ascii="Barlow" w:hAnsi="Barlow" w:cs="Open Sans"/>
          <w:b/>
          <w:bCs/>
          <w:color w:val="2F5496" w:themeColor="accent1" w:themeShade="BF"/>
        </w:rPr>
        <w:t>Fakulta</w:t>
      </w:r>
      <w:r w:rsidRPr="00483B0C">
        <w:rPr>
          <w:rFonts w:ascii="Barlow" w:hAnsi="Barlow" w:cs="Open Sans"/>
        </w:rPr>
        <w:t xml:space="preserve">: </w:t>
      </w:r>
      <w:r w:rsidR="00BA0205" w:rsidRPr="00483B0C">
        <w:rPr>
          <w:rFonts w:ascii="Barlow" w:hAnsi="Barlow" w:cs="Open Sans"/>
        </w:rPr>
        <w:t xml:space="preserve">Právnická fakulta </w:t>
      </w:r>
    </w:p>
    <w:p w14:paraId="153A883C" w14:textId="48530B18" w:rsidR="00D8553B" w:rsidRPr="00483B0C" w:rsidRDefault="00D8553B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36751E">
        <w:rPr>
          <w:rFonts w:ascii="Barlow" w:hAnsi="Barlow" w:cs="Open Sans"/>
          <w:b/>
          <w:bCs/>
          <w:color w:val="2F5496" w:themeColor="accent1" w:themeShade="BF"/>
        </w:rPr>
        <w:t>Miesto konania:</w:t>
      </w:r>
      <w:r w:rsidRPr="00483B0C">
        <w:rPr>
          <w:rFonts w:ascii="Barlow" w:hAnsi="Barlow" w:cs="Open Sans"/>
        </w:rPr>
        <w:t xml:space="preserve"> </w:t>
      </w:r>
      <w:r w:rsidR="00926A27" w:rsidRPr="00483B0C">
        <w:rPr>
          <w:rFonts w:ascii="Barlow" w:hAnsi="Barlow" w:cs="Open Sans"/>
        </w:rPr>
        <w:t xml:space="preserve">PF, Kollárova 10, Trnava </w:t>
      </w:r>
    </w:p>
    <w:p w14:paraId="4BC3490B" w14:textId="3FDB875F" w:rsidR="00105DE4" w:rsidRPr="00483B0C" w:rsidRDefault="00D4327E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36751E">
        <w:rPr>
          <w:rFonts w:ascii="Barlow" w:hAnsi="Barlow" w:cs="Open Sans"/>
          <w:b/>
          <w:bCs/>
          <w:color w:val="2F5496" w:themeColor="accent1" w:themeShade="BF"/>
        </w:rPr>
        <w:t>Predpokladaný čas výučby</w:t>
      </w:r>
      <w:r w:rsidRPr="00483B0C">
        <w:rPr>
          <w:rFonts w:ascii="Barlow" w:hAnsi="Barlow" w:cs="Open Sans"/>
        </w:rPr>
        <w:t xml:space="preserve">: </w:t>
      </w:r>
      <w:r w:rsidR="00710F1C" w:rsidRPr="00DE347C">
        <w:rPr>
          <w:rFonts w:ascii="Barlow" w:hAnsi="Barlow" w:cs="Open Sans"/>
          <w:b/>
          <w:bCs/>
        </w:rPr>
        <w:t>štvrtok</w:t>
      </w:r>
      <w:r w:rsidR="007E7E02" w:rsidRPr="00DE347C">
        <w:rPr>
          <w:rFonts w:ascii="Barlow" w:hAnsi="Barlow" w:cs="Open Sans"/>
          <w:b/>
          <w:bCs/>
        </w:rPr>
        <w:t xml:space="preserve"> od 1</w:t>
      </w:r>
      <w:r w:rsidR="00A0797B" w:rsidRPr="00DE347C">
        <w:rPr>
          <w:rFonts w:ascii="Barlow" w:hAnsi="Barlow" w:cs="Open Sans"/>
          <w:b/>
          <w:bCs/>
        </w:rPr>
        <w:t>6:00</w:t>
      </w:r>
      <w:r w:rsidR="00736EEE" w:rsidRPr="00DE347C">
        <w:rPr>
          <w:rFonts w:ascii="Barlow" w:hAnsi="Barlow" w:cs="Open Sans"/>
          <w:b/>
          <w:bCs/>
        </w:rPr>
        <w:t xml:space="preserve"> </w:t>
      </w:r>
      <w:r w:rsidR="003B7914">
        <w:rPr>
          <w:rFonts w:ascii="Barlow" w:hAnsi="Barlow" w:cs="Open Sans"/>
          <w:b/>
          <w:bCs/>
        </w:rPr>
        <w:t xml:space="preserve">– 17:30 </w:t>
      </w:r>
    </w:p>
    <w:p w14:paraId="133B4A0F" w14:textId="24E1CB91" w:rsidR="00DB2EC4" w:rsidRPr="00DE23B2" w:rsidRDefault="00D8553B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36751E">
        <w:rPr>
          <w:rFonts w:ascii="Barlow" w:hAnsi="Barlow" w:cs="Open Sans"/>
          <w:b/>
          <w:bCs/>
          <w:color w:val="2F5496" w:themeColor="accent1" w:themeShade="BF"/>
        </w:rPr>
        <w:t xml:space="preserve">Rozsah vzdelávacieho </w:t>
      </w:r>
      <w:r w:rsidR="00815000" w:rsidRPr="0036751E">
        <w:rPr>
          <w:rFonts w:ascii="Barlow" w:hAnsi="Barlow" w:cs="Open Sans"/>
          <w:b/>
          <w:bCs/>
          <w:color w:val="2F5496" w:themeColor="accent1" w:themeShade="BF"/>
        </w:rPr>
        <w:t>programu</w:t>
      </w:r>
      <w:r w:rsidRPr="0036751E">
        <w:rPr>
          <w:rFonts w:ascii="Barlow" w:hAnsi="Barlow" w:cs="Open Sans"/>
          <w:color w:val="2F5496" w:themeColor="accent1" w:themeShade="BF"/>
        </w:rPr>
        <w:t xml:space="preserve"> </w:t>
      </w:r>
      <w:r w:rsidR="00AC78AE" w:rsidRPr="00483B0C">
        <w:rPr>
          <w:rFonts w:ascii="Barlow" w:hAnsi="Barlow" w:cs="Open Sans"/>
        </w:rPr>
        <w:t>–</w:t>
      </w:r>
      <w:r w:rsidR="00662CE8" w:rsidRPr="00357F96">
        <w:rPr>
          <w:rFonts w:ascii="Barlow" w:hAnsi="Barlow" w:cs="Open Sans"/>
          <w:b/>
          <w:bCs/>
        </w:rPr>
        <w:t>jednoročný vzdelávací program</w:t>
      </w:r>
      <w:r w:rsidR="00357F96">
        <w:rPr>
          <w:rFonts w:ascii="Barlow" w:hAnsi="Barlow" w:cs="Open Sans"/>
        </w:rPr>
        <w:t xml:space="preserve"> -</w:t>
      </w:r>
      <w:r w:rsidR="00DB2EC4" w:rsidRPr="00483B0C">
        <w:rPr>
          <w:rFonts w:ascii="Barlow" w:hAnsi="Barlow" w:cs="Open Sans"/>
        </w:rPr>
        <w:t xml:space="preserve"> </w:t>
      </w:r>
      <w:bookmarkStart w:id="0" w:name="_Hlk196000702"/>
      <w:r w:rsidR="000952D8" w:rsidRPr="0036751E">
        <w:rPr>
          <w:rFonts w:ascii="Barlow" w:hAnsi="Barlow" w:cs="Open Sans"/>
          <w:highlight w:val="yellow"/>
        </w:rPr>
        <w:t>5</w:t>
      </w:r>
      <w:r w:rsidR="00DB2EC4" w:rsidRPr="0036751E">
        <w:rPr>
          <w:rFonts w:ascii="Barlow" w:hAnsi="Barlow" w:cs="Open Sans"/>
          <w:highlight w:val="yellow"/>
        </w:rPr>
        <w:t xml:space="preserve"> prednáš</w:t>
      </w:r>
      <w:r w:rsidR="000952D8" w:rsidRPr="0036751E">
        <w:rPr>
          <w:rFonts w:ascii="Barlow" w:hAnsi="Barlow" w:cs="Open Sans"/>
          <w:highlight w:val="yellow"/>
        </w:rPr>
        <w:t>ok</w:t>
      </w:r>
      <w:r w:rsidR="00DB2EC4" w:rsidRPr="00483B0C">
        <w:rPr>
          <w:rFonts w:ascii="Barlow" w:hAnsi="Barlow" w:cs="Open Sans"/>
        </w:rPr>
        <w:t xml:space="preserve"> (</w:t>
      </w:r>
      <w:r w:rsidR="00736EEE">
        <w:rPr>
          <w:rFonts w:ascii="Barlow" w:hAnsi="Barlow" w:cs="Open Sans"/>
        </w:rPr>
        <w:t>po 2</w:t>
      </w:r>
      <w:r w:rsidR="00F23683">
        <w:rPr>
          <w:rFonts w:ascii="Barlow" w:hAnsi="Barlow" w:cs="Open Sans"/>
        </w:rPr>
        <w:t xml:space="preserve"> vyučovacie</w:t>
      </w:r>
      <w:r w:rsidR="00736EEE">
        <w:rPr>
          <w:rFonts w:ascii="Barlow" w:hAnsi="Barlow" w:cs="Open Sans"/>
        </w:rPr>
        <w:t xml:space="preserve"> hodiny</w:t>
      </w:r>
      <w:r w:rsidR="00DB2EC4" w:rsidRPr="00DE23B2">
        <w:rPr>
          <w:rFonts w:ascii="Barlow" w:hAnsi="Barlow" w:cs="Open Sans"/>
        </w:rPr>
        <w:t xml:space="preserve">) </w:t>
      </w:r>
      <w:r w:rsidR="00DB2EC4" w:rsidRPr="00DE23B2">
        <w:rPr>
          <w:rFonts w:ascii="Barlow" w:hAnsi="Barlow" w:cs="Open Sans"/>
          <w:b/>
          <w:bCs/>
        </w:rPr>
        <w:t>v zimnom semestri</w:t>
      </w:r>
      <w:r w:rsidR="00DB2EC4" w:rsidRPr="00483B0C">
        <w:rPr>
          <w:rFonts w:ascii="Barlow" w:hAnsi="Barlow" w:cs="Open Sans"/>
        </w:rPr>
        <w:t xml:space="preserve"> v mesiaci október (2)</w:t>
      </w:r>
      <w:r w:rsidR="000952D8">
        <w:rPr>
          <w:rFonts w:ascii="Barlow" w:hAnsi="Barlow" w:cs="Open Sans"/>
        </w:rPr>
        <w:t>,</w:t>
      </w:r>
      <w:r w:rsidR="00DB2EC4" w:rsidRPr="00483B0C">
        <w:rPr>
          <w:rFonts w:ascii="Barlow" w:hAnsi="Barlow" w:cs="Open Sans"/>
        </w:rPr>
        <w:t> november (</w:t>
      </w:r>
      <w:r w:rsidR="000952D8">
        <w:rPr>
          <w:rFonts w:ascii="Barlow" w:hAnsi="Barlow" w:cs="Open Sans"/>
        </w:rPr>
        <w:t>2</w:t>
      </w:r>
      <w:r w:rsidR="00DB2EC4" w:rsidRPr="00483B0C">
        <w:rPr>
          <w:rFonts w:ascii="Barlow" w:hAnsi="Barlow" w:cs="Open Sans"/>
        </w:rPr>
        <w:t>)</w:t>
      </w:r>
      <w:r w:rsidR="008545A0">
        <w:rPr>
          <w:rFonts w:ascii="Barlow" w:hAnsi="Barlow" w:cs="Open Sans"/>
        </w:rPr>
        <w:t xml:space="preserve"> a december (1)</w:t>
      </w:r>
      <w:r w:rsidR="00DB2EC4" w:rsidRPr="00483B0C">
        <w:rPr>
          <w:rFonts w:ascii="Barlow" w:hAnsi="Barlow" w:cs="Open Sans"/>
        </w:rPr>
        <w:t xml:space="preserve"> </w:t>
      </w:r>
      <w:r w:rsidR="001D7CFC">
        <w:rPr>
          <w:rFonts w:ascii="Barlow" w:hAnsi="Barlow" w:cs="Open Sans"/>
        </w:rPr>
        <w:t xml:space="preserve">+ </w:t>
      </w:r>
      <w:r w:rsidR="008545A0" w:rsidRPr="0036751E">
        <w:rPr>
          <w:rFonts w:ascii="Barlow" w:hAnsi="Barlow" w:cs="Open Sans"/>
          <w:highlight w:val="yellow"/>
        </w:rPr>
        <w:t>5</w:t>
      </w:r>
      <w:r w:rsidR="001D7CFC" w:rsidRPr="0036751E">
        <w:rPr>
          <w:rFonts w:ascii="Barlow" w:hAnsi="Barlow" w:cs="Open Sans"/>
          <w:highlight w:val="yellow"/>
        </w:rPr>
        <w:t xml:space="preserve"> prednáš</w:t>
      </w:r>
      <w:r w:rsidR="008545A0" w:rsidRPr="0036751E">
        <w:rPr>
          <w:rFonts w:ascii="Barlow" w:hAnsi="Barlow" w:cs="Open Sans"/>
          <w:highlight w:val="yellow"/>
        </w:rPr>
        <w:t>ok</w:t>
      </w:r>
      <w:r w:rsidR="00F23683">
        <w:rPr>
          <w:rFonts w:ascii="Barlow" w:hAnsi="Barlow" w:cs="Open Sans"/>
          <w:highlight w:val="yellow"/>
        </w:rPr>
        <w:t xml:space="preserve"> </w:t>
      </w:r>
      <w:r w:rsidR="00F23683" w:rsidRPr="00F23683">
        <w:rPr>
          <w:rFonts w:ascii="Barlow" w:hAnsi="Barlow" w:cs="Open Sans"/>
        </w:rPr>
        <w:t xml:space="preserve">(po 2 vyučovacie hodiny) </w:t>
      </w:r>
      <w:r w:rsidR="001D7CFC" w:rsidRPr="00F23683">
        <w:rPr>
          <w:rFonts w:ascii="Barlow" w:hAnsi="Barlow" w:cs="Open Sans"/>
        </w:rPr>
        <w:t xml:space="preserve"> </w:t>
      </w:r>
      <w:r w:rsidR="001D7CFC" w:rsidRPr="00DE23B2">
        <w:rPr>
          <w:rFonts w:ascii="Barlow" w:hAnsi="Barlow" w:cs="Open Sans"/>
          <w:b/>
          <w:bCs/>
        </w:rPr>
        <w:t>v letnom semestri</w:t>
      </w:r>
    </w:p>
    <w:bookmarkEnd w:id="0"/>
    <w:p w14:paraId="01F3C6BD" w14:textId="45C5E64E" w:rsidR="00FC12AB" w:rsidRPr="00483B0C" w:rsidRDefault="00815000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36751E">
        <w:rPr>
          <w:rFonts w:ascii="Barlow" w:hAnsi="Barlow" w:cs="Open Sans"/>
          <w:b/>
          <w:bCs/>
          <w:color w:val="2F5496" w:themeColor="accent1" w:themeShade="BF"/>
        </w:rPr>
        <w:t>Minimálny počet študujúcich</w:t>
      </w:r>
      <w:r w:rsidRPr="00483B0C">
        <w:rPr>
          <w:rFonts w:ascii="Barlow" w:hAnsi="Barlow" w:cs="Open Sans"/>
        </w:rPr>
        <w:t xml:space="preserve">: </w:t>
      </w:r>
      <w:r w:rsidR="001D7CFC">
        <w:rPr>
          <w:rFonts w:ascii="Barlow" w:hAnsi="Barlow" w:cs="Open Sans"/>
        </w:rPr>
        <w:t>13</w:t>
      </w:r>
    </w:p>
    <w:p w14:paraId="272909ED" w14:textId="4326B8A1" w:rsidR="00815000" w:rsidRPr="00483B0C" w:rsidRDefault="00815000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36751E">
        <w:rPr>
          <w:rFonts w:ascii="Barlow" w:hAnsi="Barlow" w:cs="Open Sans"/>
          <w:b/>
          <w:bCs/>
          <w:color w:val="2F5496" w:themeColor="accent1" w:themeShade="BF"/>
        </w:rPr>
        <w:t>Maximálny počet študujúcich</w:t>
      </w:r>
      <w:r w:rsidRPr="00483B0C">
        <w:rPr>
          <w:rFonts w:ascii="Barlow" w:hAnsi="Barlow" w:cs="Open Sans"/>
        </w:rPr>
        <w:t xml:space="preserve">: </w:t>
      </w:r>
      <w:r w:rsidR="00F55FDD" w:rsidRPr="00483B0C">
        <w:rPr>
          <w:rFonts w:ascii="Barlow" w:hAnsi="Barlow" w:cs="Open Sans"/>
        </w:rPr>
        <w:t>40</w:t>
      </w:r>
    </w:p>
    <w:p w14:paraId="033624A2" w14:textId="77777777" w:rsidR="00D8553B" w:rsidRPr="00483B0C" w:rsidRDefault="00D8553B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</w:p>
    <w:p w14:paraId="440EDB17" w14:textId="43B505EC" w:rsidR="00D464BB" w:rsidRDefault="00F63661" w:rsidP="00D464B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483B0C">
        <w:rPr>
          <w:rFonts w:ascii="Barlow" w:hAnsi="Barlow" w:cs="Open Sans"/>
          <w:u w:val="single"/>
        </w:rPr>
        <w:t>Cieľ vzdelávania</w:t>
      </w:r>
      <w:r w:rsidR="00D8553B" w:rsidRPr="00483B0C">
        <w:rPr>
          <w:rFonts w:ascii="Barlow" w:hAnsi="Barlow" w:cs="Open Sans"/>
        </w:rPr>
        <w:t>:</w:t>
      </w:r>
      <w:r w:rsidR="00483B0C">
        <w:rPr>
          <w:rFonts w:ascii="Barlow" w:hAnsi="Barlow" w:cs="Open Sans"/>
        </w:rPr>
        <w:t xml:space="preserve"> </w:t>
      </w:r>
      <w:r w:rsidR="00D464BB" w:rsidRPr="00D464BB">
        <w:rPr>
          <w:rFonts w:ascii="Barlow" w:hAnsi="Barlow" w:cs="Open Sans"/>
          <w:color w:val="000000"/>
        </w:rPr>
        <w:t>Študujúci sa oboznámia so základnými zásadami trestného konania a významom týchto zásad pre aplikačnú prax. Dozvedia sa, aké je postavenie jednotlivých vybraných subjektov trestného konania (obvinený/obžalovaný, obhajca, prokurátor, súd, poškodený). Študujúci nadobudnú bližšie poznatky a vedomosti o významnej zásade trestného konania a to o zásade kontradiktórnosti, ktorá značným spôsobom vyplýva na priebeh trestného konania. Pozornosť bude venovaná rovnako aj taktike obhajoby v trestnom konaní, právam obvineného/obžalovaného, ako aj zastupovaniu poškodeného v trestnom konaní a jeho právam a povinnostiam.</w:t>
      </w:r>
      <w:r w:rsidR="004F2E3C">
        <w:rPr>
          <w:rFonts w:ascii="Barlow" w:hAnsi="Barlow" w:cs="Open Sans"/>
          <w:color w:val="000000"/>
        </w:rPr>
        <w:t xml:space="preserve"> Ďalej sa rovnako oboznámia s problematikou zaujatosti sudcov v trestnom konaní</w:t>
      </w:r>
      <w:r w:rsidR="007723D8">
        <w:rPr>
          <w:rFonts w:ascii="Barlow" w:hAnsi="Barlow" w:cs="Open Sans"/>
          <w:color w:val="000000"/>
        </w:rPr>
        <w:t xml:space="preserve"> a využitia laického prvku (prísediacich) v trestných veciach</w:t>
      </w:r>
      <w:r w:rsidR="004F2E3C">
        <w:rPr>
          <w:rFonts w:ascii="Barlow" w:hAnsi="Barlow" w:cs="Open Sans"/>
          <w:color w:val="000000"/>
        </w:rPr>
        <w:t xml:space="preserve">, </w:t>
      </w:r>
      <w:r w:rsidR="00CB0A80">
        <w:rPr>
          <w:rFonts w:ascii="Barlow" w:hAnsi="Barlow" w:cs="Open Sans"/>
          <w:color w:val="000000"/>
        </w:rPr>
        <w:t>(ne)zákonnosťou a (ne)prípustnosťou dôkazov v trestnom konaní z pohľadu aplikačnej praxe</w:t>
      </w:r>
      <w:r w:rsidR="004A7571">
        <w:rPr>
          <w:rFonts w:ascii="Barlow" w:hAnsi="Barlow" w:cs="Open Sans"/>
          <w:color w:val="000000"/>
        </w:rPr>
        <w:t xml:space="preserve">. Súčasťou vzdelávania </w:t>
      </w:r>
      <w:r w:rsidR="00C26B0B">
        <w:rPr>
          <w:rFonts w:ascii="Barlow" w:hAnsi="Barlow" w:cs="Open Sans"/>
          <w:color w:val="000000"/>
        </w:rPr>
        <w:t>bud</w:t>
      </w:r>
      <w:r w:rsidR="003C2819">
        <w:rPr>
          <w:rFonts w:ascii="Barlow" w:hAnsi="Barlow" w:cs="Open Sans"/>
          <w:color w:val="000000"/>
        </w:rPr>
        <w:t>ú aj etické otázky právnických povolaní (nielen) v trestnom konaní.</w:t>
      </w:r>
    </w:p>
    <w:p w14:paraId="0D4B1C5A" w14:textId="77777777" w:rsidR="00B1256C" w:rsidRDefault="00B1256C" w:rsidP="00D464B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</w:p>
    <w:p w14:paraId="1DCC1C20" w14:textId="061A8C29" w:rsidR="00B1256C" w:rsidRPr="00D464BB" w:rsidRDefault="000715D2" w:rsidP="007E16A7">
      <w:pPr>
        <w:pStyle w:val="Normlnywebov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arlow" w:hAnsi="Barlow" w:cs="Open Sans"/>
          <w:color w:val="000000"/>
        </w:rPr>
      </w:pPr>
      <w:r>
        <w:rPr>
          <w:rFonts w:ascii="Barlow" w:hAnsi="Barlow" w:cs="Open Sans"/>
          <w:color w:val="000000"/>
        </w:rPr>
        <w:t>D</w:t>
      </w:r>
      <w:r w:rsidR="00B1256C">
        <w:rPr>
          <w:rFonts w:ascii="Barlow" w:hAnsi="Barlow" w:cs="Open Sans"/>
          <w:color w:val="000000"/>
        </w:rPr>
        <w:t>ozvedia</w:t>
      </w:r>
      <w:r>
        <w:rPr>
          <w:rFonts w:ascii="Barlow" w:hAnsi="Barlow" w:cs="Open Sans"/>
          <w:color w:val="000000"/>
        </w:rPr>
        <w:t xml:space="preserve"> sa rovnako</w:t>
      </w:r>
      <w:r w:rsidR="00F91B5A">
        <w:rPr>
          <w:rFonts w:ascii="Barlow" w:hAnsi="Barlow" w:cs="Open Sans"/>
          <w:color w:val="000000"/>
        </w:rPr>
        <w:t xml:space="preserve"> </w:t>
      </w:r>
      <w:r w:rsidR="007E16A7">
        <w:rPr>
          <w:rFonts w:ascii="Barlow" w:hAnsi="Barlow" w:cs="Open Sans"/>
          <w:color w:val="000000"/>
        </w:rPr>
        <w:t>poznatky o zásade prezumpcie neviny ako ďalšej dôležitej zásade trestného konania</w:t>
      </w:r>
      <w:r w:rsidR="00997CB0">
        <w:rPr>
          <w:rFonts w:ascii="Barlow" w:hAnsi="Barlow" w:cs="Open Sans"/>
          <w:color w:val="000000"/>
        </w:rPr>
        <w:t>, oboznámia sa s podmienkami a výkonom väzby ako zaisťovacieho inštitútu trestného konania a</w:t>
      </w:r>
      <w:r w:rsidR="00922A56">
        <w:rPr>
          <w:rFonts w:ascii="Barlow" w:hAnsi="Barlow" w:cs="Open Sans"/>
          <w:color w:val="000000"/>
        </w:rPr>
        <w:t> na praktických prípadoch sa oboznámia, aká tenká niekedy môže byť hranica medzi trestným a priestupkovým konaním.</w:t>
      </w:r>
      <w:r w:rsidR="0067469B">
        <w:rPr>
          <w:rFonts w:ascii="Barlow" w:hAnsi="Barlow" w:cs="Open Sans"/>
          <w:color w:val="000000"/>
        </w:rPr>
        <w:t xml:space="preserve"> Na záver budú mať poslucháči možnosť pozorovať samotný priebeh hlavného pojednávania </w:t>
      </w:r>
      <w:r w:rsidR="0067469B">
        <w:rPr>
          <w:rFonts w:ascii="Barlow" w:hAnsi="Barlow" w:cs="Open Sans"/>
          <w:color w:val="000000"/>
        </w:rPr>
        <w:lastRenderedPageBreak/>
        <w:t>prostredníctvom vybraného simulovaného trestného sporu alebo</w:t>
      </w:r>
      <w:r w:rsidR="00E31FFD">
        <w:rPr>
          <w:rFonts w:ascii="Barlow" w:hAnsi="Barlow" w:cs="Open Sans"/>
          <w:color w:val="000000"/>
        </w:rPr>
        <w:t xml:space="preserve"> prostredníctvom</w:t>
      </w:r>
      <w:r w:rsidR="004808DD">
        <w:rPr>
          <w:rFonts w:ascii="Barlow" w:hAnsi="Barlow" w:cs="Open Sans"/>
          <w:color w:val="000000"/>
        </w:rPr>
        <w:t xml:space="preserve"> pozorovania jeho priebehu priamo v pojednávacej miestnosti na Okresnom súde Trnava.</w:t>
      </w:r>
    </w:p>
    <w:p w14:paraId="45C96E27" w14:textId="08F7E8C3" w:rsidR="00BA0205" w:rsidRPr="00483B0C" w:rsidRDefault="00BA0205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</w:p>
    <w:p w14:paraId="4C315BCC" w14:textId="77777777" w:rsidR="00F63661" w:rsidRPr="00D12714" w:rsidRDefault="00F63661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D12714">
        <w:rPr>
          <w:rFonts w:ascii="Barlow" w:hAnsi="Barlow" w:cs="Open Sans"/>
          <w:b/>
          <w:bCs/>
        </w:rPr>
        <w:t xml:space="preserve">Zoznam prednášok/cvičení </w:t>
      </w:r>
    </w:p>
    <w:p w14:paraId="33A47EBF" w14:textId="6915C2BD" w:rsidR="007160D5" w:rsidRPr="00D12714" w:rsidRDefault="00D815C4" w:rsidP="00D1271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u w:val="single"/>
        </w:rPr>
      </w:pPr>
      <w:r w:rsidRPr="00D12714">
        <w:rPr>
          <w:rFonts w:ascii="Barlow" w:hAnsi="Barlow" w:cs="Open Sans"/>
          <w:u w:val="single"/>
        </w:rPr>
        <w:t>Zimný semester</w:t>
      </w:r>
    </w:p>
    <w:p w14:paraId="316C5C05" w14:textId="1C4BDD93" w:rsidR="00F70EDC" w:rsidRPr="00F70EDC" w:rsidRDefault="00F70EDC" w:rsidP="00F70EDC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F70EDC">
        <w:rPr>
          <w:rFonts w:ascii="Barlow" w:hAnsi="Barlow" w:cs="Open Sans"/>
          <w:color w:val="000000"/>
        </w:rPr>
        <w:t xml:space="preserve">Trestné právo vždy s Vami – základný význam trestného práva, jeho delenie, subjekty trestného konania (obvinený/obžalovaný, obhajca, prokurátor, súd, poškodený), základné zásady trestného konania. Zásada kontradiktórnosti trestného konania a jej praktický význam. </w:t>
      </w:r>
    </w:p>
    <w:p w14:paraId="25130AC1" w14:textId="1098D88D" w:rsidR="00F70EDC" w:rsidRPr="00F70EDC" w:rsidRDefault="00F70EDC" w:rsidP="00F70EDC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F70EDC">
        <w:rPr>
          <w:rFonts w:ascii="Barlow" w:hAnsi="Barlow" w:cs="Open Sans"/>
          <w:color w:val="000000"/>
        </w:rPr>
        <w:t xml:space="preserve">Pokračovanie prednášky o kontradiktórnosti trestného konania </w:t>
      </w:r>
    </w:p>
    <w:p w14:paraId="66905269" w14:textId="52B858E9" w:rsidR="00F70EDC" w:rsidRDefault="00F70EDC" w:rsidP="00F70EDC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F70EDC">
        <w:rPr>
          <w:rFonts w:ascii="Barlow" w:hAnsi="Barlow" w:cs="Open Sans"/>
          <w:color w:val="000000"/>
        </w:rPr>
        <w:t xml:space="preserve">Taktika obhajoby v trestnom konaní, práva a povinnosti obvineného/obžalovaného, postavenie, práva a povinnosti poškodeného </w:t>
      </w:r>
    </w:p>
    <w:p w14:paraId="5223CF15" w14:textId="5082C233" w:rsidR="00F65230" w:rsidRDefault="008F1618" w:rsidP="00F70EDC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>
        <w:rPr>
          <w:rFonts w:ascii="Barlow" w:hAnsi="Barlow" w:cs="Open Sans"/>
          <w:color w:val="000000"/>
        </w:rPr>
        <w:t>Prezumpcia neviny ako zásada trestného konania</w:t>
      </w:r>
    </w:p>
    <w:p w14:paraId="6D296461" w14:textId="4234FCCC" w:rsidR="006D4037" w:rsidRPr="00F70EDC" w:rsidRDefault="008D6BA4" w:rsidP="00F70EDC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>
        <w:rPr>
          <w:rFonts w:ascii="Barlow" w:hAnsi="Barlow" w:cs="Open Sans"/>
          <w:color w:val="000000"/>
        </w:rPr>
        <w:t>Trestné právo ako prostriedok ultima ra</w:t>
      </w:r>
      <w:r w:rsidR="00E63FAB">
        <w:rPr>
          <w:rFonts w:ascii="Barlow" w:hAnsi="Barlow" w:cs="Open Sans"/>
          <w:color w:val="000000"/>
        </w:rPr>
        <w:t>tio</w:t>
      </w:r>
      <w:r w:rsidR="00FD00DF">
        <w:rPr>
          <w:rFonts w:ascii="Barlow" w:hAnsi="Barlow" w:cs="Open Sans"/>
          <w:color w:val="000000"/>
        </w:rPr>
        <w:t xml:space="preserve"> – hranica medzi trestným a priestupkovým konaním</w:t>
      </w:r>
    </w:p>
    <w:p w14:paraId="2C3B1A75" w14:textId="77777777" w:rsidR="00D12714" w:rsidRPr="00F70EDC" w:rsidRDefault="00D12714" w:rsidP="00D12714">
      <w:pPr>
        <w:pStyle w:val="Odsekzoznamu"/>
        <w:tabs>
          <w:tab w:val="left" w:pos="426"/>
        </w:tabs>
        <w:spacing w:after="0" w:line="360" w:lineRule="auto"/>
        <w:jc w:val="both"/>
        <w:rPr>
          <w:rFonts w:ascii="Barlow" w:eastAsia="Times New Roman" w:hAnsi="Barlow" w:cs="Open Sans"/>
          <w:lang w:eastAsia="sk-SK"/>
        </w:rPr>
      </w:pPr>
    </w:p>
    <w:p w14:paraId="21E5F149" w14:textId="7DE4C71A" w:rsidR="00152A3C" w:rsidRPr="002E36B5" w:rsidRDefault="007160D5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u w:val="single"/>
        </w:rPr>
      </w:pPr>
      <w:r w:rsidRPr="002E36B5">
        <w:rPr>
          <w:rFonts w:ascii="Barlow" w:hAnsi="Barlow" w:cs="Open Sans"/>
          <w:u w:val="single"/>
        </w:rPr>
        <w:t>Letný semester</w:t>
      </w:r>
      <w:bookmarkStart w:id="1" w:name="page1"/>
      <w:bookmarkEnd w:id="1"/>
    </w:p>
    <w:p w14:paraId="61359723" w14:textId="379A47AB" w:rsidR="00DB2EC4" w:rsidRPr="00386F61" w:rsidRDefault="00386F61" w:rsidP="00386F61">
      <w:pPr>
        <w:pStyle w:val="Odsekzoznamu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Barlow" w:eastAsia="Times New Roman" w:hAnsi="Barlow" w:cs="Open Sans"/>
          <w:lang w:eastAsia="sk-SK"/>
        </w:rPr>
      </w:pPr>
      <w:r w:rsidRPr="00386F61">
        <w:rPr>
          <w:rFonts w:ascii="Barlow" w:eastAsia="Times New Roman" w:hAnsi="Barlow" w:cs="Open Sans"/>
          <w:lang w:eastAsia="sk-SK"/>
        </w:rPr>
        <w:t>Zaujatosť sudcov v trestnom konaní</w:t>
      </w:r>
      <w:r w:rsidR="005C69DB">
        <w:rPr>
          <w:rFonts w:ascii="Barlow" w:eastAsia="Times New Roman" w:hAnsi="Barlow" w:cs="Open Sans"/>
          <w:lang w:eastAsia="sk-SK"/>
        </w:rPr>
        <w:t xml:space="preserve"> a využitie </w:t>
      </w:r>
      <w:r w:rsidR="007723D8">
        <w:rPr>
          <w:rFonts w:ascii="Barlow" w:eastAsia="Times New Roman" w:hAnsi="Barlow" w:cs="Open Sans"/>
          <w:lang w:eastAsia="sk-SK"/>
        </w:rPr>
        <w:t>laického prvku (prísediacich) v trestných veciach</w:t>
      </w:r>
    </w:p>
    <w:p w14:paraId="7DB2D05C" w14:textId="4B728143" w:rsidR="00386F61" w:rsidRDefault="00386F61" w:rsidP="00386F61">
      <w:pPr>
        <w:pStyle w:val="Odsekzoznamu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Barlow" w:eastAsia="Times New Roman" w:hAnsi="Barlow" w:cs="Open Sans"/>
          <w:lang w:eastAsia="sk-SK"/>
        </w:rPr>
      </w:pPr>
      <w:r>
        <w:rPr>
          <w:rFonts w:ascii="Barlow" w:eastAsia="Times New Roman" w:hAnsi="Barlow" w:cs="Open Sans"/>
          <w:lang w:eastAsia="sk-SK"/>
        </w:rPr>
        <w:t>(Ne)zákonnosť a (ne)prípustnosť dôkazov v trestnom konaní z pohľadu aplikačnej praxe</w:t>
      </w:r>
    </w:p>
    <w:p w14:paraId="5DA01089" w14:textId="21A8F1C3" w:rsidR="00386F61" w:rsidRDefault="00433205" w:rsidP="00386F61">
      <w:pPr>
        <w:pStyle w:val="Odsekzoznamu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Barlow" w:eastAsia="Times New Roman" w:hAnsi="Barlow" w:cs="Open Sans"/>
          <w:lang w:eastAsia="sk-SK"/>
        </w:rPr>
      </w:pPr>
      <w:r>
        <w:rPr>
          <w:rFonts w:ascii="Barlow" w:eastAsia="Times New Roman" w:hAnsi="Barlow" w:cs="Open Sans"/>
          <w:lang w:eastAsia="sk-SK"/>
        </w:rPr>
        <w:t>Etika právnických povolaní (nielen) v trestnom konaní</w:t>
      </w:r>
    </w:p>
    <w:p w14:paraId="0A81AB50" w14:textId="33337221" w:rsidR="00FD00DF" w:rsidRDefault="00FD00DF" w:rsidP="00386F61">
      <w:pPr>
        <w:pStyle w:val="Odsekzoznamu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Barlow" w:eastAsia="Times New Roman" w:hAnsi="Barlow" w:cs="Open Sans"/>
          <w:lang w:eastAsia="sk-SK"/>
        </w:rPr>
      </w:pPr>
      <w:r>
        <w:rPr>
          <w:rFonts w:ascii="Barlow" w:eastAsia="Times New Roman" w:hAnsi="Barlow" w:cs="Open Sans"/>
          <w:lang w:eastAsia="sk-SK"/>
        </w:rPr>
        <w:t>Väzba ako zabezpečovací inštitút trestného konania</w:t>
      </w:r>
    </w:p>
    <w:p w14:paraId="4F3A4FDF" w14:textId="583AFC16" w:rsidR="00FD00DF" w:rsidRPr="00386F61" w:rsidRDefault="00FD00DF" w:rsidP="00386F61">
      <w:pPr>
        <w:pStyle w:val="Odsekzoznamu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Barlow" w:eastAsia="Times New Roman" w:hAnsi="Barlow" w:cs="Open Sans"/>
          <w:lang w:eastAsia="sk-SK"/>
        </w:rPr>
      </w:pPr>
      <w:r>
        <w:rPr>
          <w:rFonts w:ascii="Barlow" w:eastAsia="Times New Roman" w:hAnsi="Barlow" w:cs="Open Sans"/>
          <w:lang w:eastAsia="sk-SK"/>
        </w:rPr>
        <w:t xml:space="preserve">Priebeh hlavného pojednávania </w:t>
      </w:r>
      <w:r w:rsidR="007157CA">
        <w:rPr>
          <w:rFonts w:ascii="Barlow" w:eastAsia="Times New Roman" w:hAnsi="Barlow" w:cs="Open Sans"/>
          <w:lang w:eastAsia="sk-SK"/>
        </w:rPr>
        <w:t>–</w:t>
      </w:r>
      <w:r>
        <w:rPr>
          <w:rFonts w:ascii="Barlow" w:eastAsia="Times New Roman" w:hAnsi="Barlow" w:cs="Open Sans"/>
          <w:lang w:eastAsia="sk-SK"/>
        </w:rPr>
        <w:t xml:space="preserve"> </w:t>
      </w:r>
      <w:r w:rsidR="007157CA">
        <w:rPr>
          <w:rFonts w:ascii="Barlow" w:eastAsia="Times New Roman" w:hAnsi="Barlow" w:cs="Open Sans"/>
          <w:lang w:eastAsia="sk-SK"/>
        </w:rPr>
        <w:t>simulovaný trestný proces/pozorovanie priebehu</w:t>
      </w:r>
      <w:r w:rsidR="00381E70">
        <w:rPr>
          <w:rFonts w:ascii="Barlow" w:eastAsia="Times New Roman" w:hAnsi="Barlow" w:cs="Open Sans"/>
          <w:lang w:eastAsia="sk-SK"/>
        </w:rPr>
        <w:t xml:space="preserve"> hlavného pojednávania</w:t>
      </w:r>
      <w:r w:rsidR="007157CA">
        <w:rPr>
          <w:rFonts w:ascii="Barlow" w:eastAsia="Times New Roman" w:hAnsi="Barlow" w:cs="Open Sans"/>
          <w:lang w:eastAsia="sk-SK"/>
        </w:rPr>
        <w:t xml:space="preserve"> očami poslucháčov na Okresnom súde Trnava</w:t>
      </w:r>
      <w:r w:rsidR="001A3520">
        <w:rPr>
          <w:rFonts w:ascii="Barlow" w:eastAsia="Times New Roman" w:hAnsi="Barlow" w:cs="Open Sans"/>
          <w:lang w:eastAsia="sk-SK"/>
        </w:rPr>
        <w:t xml:space="preserve"> (spolu s</w:t>
      </w:r>
      <w:r w:rsidR="00381E70">
        <w:rPr>
          <w:rFonts w:ascii="Barlow" w:eastAsia="Times New Roman" w:hAnsi="Barlow" w:cs="Open Sans"/>
          <w:lang w:eastAsia="sk-SK"/>
        </w:rPr>
        <w:t> odborným komentárom</w:t>
      </w:r>
      <w:r w:rsidR="00836AE0">
        <w:rPr>
          <w:rFonts w:ascii="Barlow" w:eastAsia="Times New Roman" w:hAnsi="Barlow" w:cs="Open Sans"/>
          <w:lang w:eastAsia="sk-SK"/>
        </w:rPr>
        <w:t xml:space="preserve"> od vyučujúceho/lektora)</w:t>
      </w:r>
    </w:p>
    <w:p w14:paraId="7E1BCD9F" w14:textId="77777777" w:rsidR="007160D5" w:rsidRPr="00483B0C" w:rsidRDefault="00152A3C" w:rsidP="00483B0C">
      <w:pPr>
        <w:pStyle w:val="Normlnywebov"/>
        <w:shd w:val="clear" w:color="auto" w:fill="FFFFFF"/>
        <w:spacing w:after="0" w:line="360" w:lineRule="auto"/>
        <w:jc w:val="both"/>
        <w:rPr>
          <w:rFonts w:ascii="Barlow" w:hAnsi="Barlow" w:cs="Open Sans"/>
        </w:rPr>
      </w:pPr>
      <w:r w:rsidRPr="002E36B5">
        <w:rPr>
          <w:rFonts w:ascii="Barlow" w:hAnsi="Barlow" w:cs="Open Sans"/>
          <w:u w:val="single"/>
        </w:rPr>
        <w:t>Vyučujúci</w:t>
      </w:r>
      <w:r w:rsidR="00815000" w:rsidRPr="002E36B5">
        <w:rPr>
          <w:rFonts w:ascii="Barlow" w:hAnsi="Barlow" w:cs="Open Sans"/>
          <w:u w:val="single"/>
        </w:rPr>
        <w:t>/lektor</w:t>
      </w:r>
      <w:r w:rsidRPr="00483B0C">
        <w:rPr>
          <w:rFonts w:ascii="Barlow" w:hAnsi="Barlow" w:cs="Open Sans"/>
        </w:rPr>
        <w:t xml:space="preserve">: </w:t>
      </w:r>
    </w:p>
    <w:p w14:paraId="69768F7B" w14:textId="49C7AEF6" w:rsidR="007160D5" w:rsidRPr="002337B5" w:rsidRDefault="00F5220B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2337B5">
        <w:rPr>
          <w:rFonts w:ascii="Barlow" w:hAnsi="Barlow" w:cs="Open Sans"/>
          <w:b/>
          <w:bCs/>
        </w:rPr>
        <w:t>JUDr. Maroš Čelár, PhD.</w:t>
      </w:r>
    </w:p>
    <w:sectPr w:rsidR="007160D5" w:rsidRPr="002337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ACA5" w14:textId="77777777" w:rsidR="00AB479D" w:rsidRDefault="00AB479D" w:rsidP="00E15770">
      <w:pPr>
        <w:spacing w:after="0" w:line="240" w:lineRule="auto"/>
      </w:pPr>
      <w:r>
        <w:separator/>
      </w:r>
    </w:p>
  </w:endnote>
  <w:endnote w:type="continuationSeparator" w:id="0">
    <w:p w14:paraId="7E165D91" w14:textId="77777777" w:rsidR="00AB479D" w:rsidRDefault="00AB479D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ourier New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599219"/>
      <w:docPartObj>
        <w:docPartGallery w:val="Page Numbers (Bottom of Page)"/>
        <w:docPartUnique/>
      </w:docPartObj>
    </w:sdtPr>
    <w:sdtEndPr/>
    <w:sdtContent>
      <w:p w14:paraId="083BE5BC" w14:textId="02068673" w:rsidR="00F90D1E" w:rsidRDefault="00F90D1E">
        <w:pPr>
          <w:pStyle w:val="Pta"/>
          <w:jc w:val="right"/>
        </w:pPr>
        <w:r w:rsidRPr="00F90D1E">
          <w:rPr>
            <w:rFonts w:ascii="Barlow" w:hAnsi="Barlow"/>
            <w:sz w:val="20"/>
            <w:szCs w:val="20"/>
          </w:rPr>
          <w:fldChar w:fldCharType="begin"/>
        </w:r>
        <w:r w:rsidRPr="00F90D1E">
          <w:rPr>
            <w:rFonts w:ascii="Barlow" w:hAnsi="Barlow"/>
            <w:sz w:val="20"/>
            <w:szCs w:val="20"/>
          </w:rPr>
          <w:instrText>PAGE   \* MERGEFORMAT</w:instrText>
        </w:r>
        <w:r w:rsidRPr="00F90D1E">
          <w:rPr>
            <w:rFonts w:ascii="Barlow" w:hAnsi="Barlow"/>
            <w:sz w:val="20"/>
            <w:szCs w:val="20"/>
          </w:rPr>
          <w:fldChar w:fldCharType="separate"/>
        </w:r>
        <w:r w:rsidR="00926A27">
          <w:rPr>
            <w:rFonts w:ascii="Barlow" w:hAnsi="Barlow"/>
            <w:noProof/>
            <w:sz w:val="20"/>
            <w:szCs w:val="20"/>
          </w:rPr>
          <w:t>1</w:t>
        </w:r>
        <w:r w:rsidRPr="00F90D1E">
          <w:rPr>
            <w:rFonts w:ascii="Barlow" w:hAnsi="Barlow"/>
            <w:sz w:val="20"/>
            <w:szCs w:val="20"/>
          </w:rPr>
          <w:fldChar w:fldCharType="end"/>
        </w:r>
      </w:p>
    </w:sdtContent>
  </w:sdt>
  <w:p w14:paraId="4F265F56" w14:textId="77777777" w:rsidR="00F90D1E" w:rsidRDefault="00F90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F1D6" w14:textId="77777777" w:rsidR="00AB479D" w:rsidRDefault="00AB479D" w:rsidP="00E15770">
      <w:pPr>
        <w:spacing w:after="0" w:line="240" w:lineRule="auto"/>
      </w:pPr>
      <w:r>
        <w:separator/>
      </w:r>
    </w:p>
  </w:footnote>
  <w:footnote w:type="continuationSeparator" w:id="0">
    <w:p w14:paraId="28DBB366" w14:textId="77777777" w:rsidR="00AB479D" w:rsidRDefault="00AB479D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D861" w14:textId="07A0C710" w:rsidR="00E15770" w:rsidRDefault="00E15770" w:rsidP="00D8553B">
    <w:pPr>
      <w:pStyle w:val="Hlavika"/>
    </w:pPr>
    <w:r>
      <w:rPr>
        <w:noProof/>
        <w:lang w:eastAsia="sk-SK"/>
      </w:rPr>
      <w:drawing>
        <wp:inline distT="0" distB="0" distL="0" distR="0" wp14:anchorId="401708FF" wp14:editId="60E393BB">
          <wp:extent cx="2440270" cy="54946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864" cy="55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53B">
      <w:tab/>
    </w:r>
    <w:r w:rsidR="00D8553B">
      <w:tab/>
    </w:r>
    <w:r w:rsidR="00D8553B" w:rsidRPr="00D8553B">
      <w:rPr>
        <w:rFonts w:ascii="Barlow" w:hAnsi="Barlow" w:cs="Open Sans"/>
        <w:b/>
        <w:caps/>
        <w:color w:val="000000"/>
      </w:rPr>
      <w:t>univerzita tretieho veku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C6C"/>
    <w:multiLevelType w:val="hybridMultilevel"/>
    <w:tmpl w:val="C590B0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02F4"/>
    <w:multiLevelType w:val="hybridMultilevel"/>
    <w:tmpl w:val="F68AC772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E05"/>
    <w:multiLevelType w:val="hybridMultilevel"/>
    <w:tmpl w:val="3BB017DC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35F9"/>
    <w:multiLevelType w:val="hybridMultilevel"/>
    <w:tmpl w:val="B4B29C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C339F"/>
    <w:multiLevelType w:val="hybridMultilevel"/>
    <w:tmpl w:val="D7568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F223A"/>
    <w:multiLevelType w:val="hybridMultilevel"/>
    <w:tmpl w:val="019AEC9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C9869"/>
    <w:multiLevelType w:val="hybridMultilevel"/>
    <w:tmpl w:val="7D96481C"/>
    <w:lvl w:ilvl="0" w:tplc="D44ABAF8">
      <w:start w:val="1"/>
      <w:numFmt w:val="decimal"/>
      <w:lvlText w:val="%1."/>
      <w:lvlJc w:val="left"/>
      <w:pPr>
        <w:ind w:left="0" w:firstLine="0"/>
      </w:pPr>
    </w:lvl>
    <w:lvl w:ilvl="1" w:tplc="75A26B8C">
      <w:start w:val="1"/>
      <w:numFmt w:val="lowerLetter"/>
      <w:lvlText w:val="%2."/>
      <w:lvlJc w:val="left"/>
      <w:pPr>
        <w:ind w:left="0" w:firstLine="0"/>
      </w:pPr>
    </w:lvl>
    <w:lvl w:ilvl="2" w:tplc="49ACA25C">
      <w:numFmt w:val="decimal"/>
      <w:lvlText w:val=""/>
      <w:lvlJc w:val="left"/>
      <w:pPr>
        <w:ind w:left="0" w:firstLine="0"/>
      </w:pPr>
    </w:lvl>
    <w:lvl w:ilvl="3" w:tplc="489E404E">
      <w:numFmt w:val="decimal"/>
      <w:lvlText w:val=""/>
      <w:lvlJc w:val="left"/>
      <w:pPr>
        <w:ind w:left="0" w:firstLine="0"/>
      </w:pPr>
    </w:lvl>
    <w:lvl w:ilvl="4" w:tplc="74CE705E">
      <w:numFmt w:val="decimal"/>
      <w:lvlText w:val=""/>
      <w:lvlJc w:val="left"/>
      <w:pPr>
        <w:ind w:left="0" w:firstLine="0"/>
      </w:pPr>
    </w:lvl>
    <w:lvl w:ilvl="5" w:tplc="41D283DA">
      <w:numFmt w:val="decimal"/>
      <w:lvlText w:val=""/>
      <w:lvlJc w:val="left"/>
      <w:pPr>
        <w:ind w:left="0" w:firstLine="0"/>
      </w:pPr>
    </w:lvl>
    <w:lvl w:ilvl="6" w:tplc="CD04AD58">
      <w:numFmt w:val="decimal"/>
      <w:lvlText w:val=""/>
      <w:lvlJc w:val="left"/>
      <w:pPr>
        <w:ind w:left="0" w:firstLine="0"/>
      </w:pPr>
    </w:lvl>
    <w:lvl w:ilvl="7" w:tplc="97784124">
      <w:numFmt w:val="decimal"/>
      <w:lvlText w:val=""/>
      <w:lvlJc w:val="left"/>
      <w:pPr>
        <w:ind w:left="0" w:firstLine="0"/>
      </w:pPr>
    </w:lvl>
    <w:lvl w:ilvl="8" w:tplc="886C1FE4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57626A1"/>
    <w:multiLevelType w:val="hybridMultilevel"/>
    <w:tmpl w:val="5ED6B2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34873"/>
    <w:multiLevelType w:val="hybridMultilevel"/>
    <w:tmpl w:val="EA74E258"/>
    <w:lvl w:ilvl="0" w:tplc="E9D05ECC">
      <w:start w:val="6"/>
      <w:numFmt w:val="decimal"/>
      <w:lvlText w:val="%1."/>
      <w:lvlJc w:val="left"/>
      <w:pPr>
        <w:ind w:left="0" w:firstLine="0"/>
      </w:pPr>
    </w:lvl>
    <w:lvl w:ilvl="1" w:tplc="50B487EE">
      <w:start w:val="1"/>
      <w:numFmt w:val="lowerLetter"/>
      <w:lvlText w:val="%2."/>
      <w:lvlJc w:val="left"/>
      <w:pPr>
        <w:ind w:left="0" w:firstLine="0"/>
      </w:pPr>
    </w:lvl>
    <w:lvl w:ilvl="2" w:tplc="53ECDE3E">
      <w:numFmt w:val="decimal"/>
      <w:lvlText w:val=""/>
      <w:lvlJc w:val="left"/>
      <w:pPr>
        <w:ind w:left="0" w:firstLine="0"/>
      </w:pPr>
    </w:lvl>
    <w:lvl w:ilvl="3" w:tplc="AAA4C99C">
      <w:numFmt w:val="decimal"/>
      <w:lvlText w:val=""/>
      <w:lvlJc w:val="left"/>
      <w:pPr>
        <w:ind w:left="0" w:firstLine="0"/>
      </w:pPr>
    </w:lvl>
    <w:lvl w:ilvl="4" w:tplc="DD103F60">
      <w:numFmt w:val="decimal"/>
      <w:lvlText w:val=""/>
      <w:lvlJc w:val="left"/>
      <w:pPr>
        <w:ind w:left="0" w:firstLine="0"/>
      </w:pPr>
    </w:lvl>
    <w:lvl w:ilvl="5" w:tplc="CD4A24AA">
      <w:numFmt w:val="decimal"/>
      <w:lvlText w:val=""/>
      <w:lvlJc w:val="left"/>
      <w:pPr>
        <w:ind w:left="0" w:firstLine="0"/>
      </w:pPr>
    </w:lvl>
    <w:lvl w:ilvl="6" w:tplc="EFDEA6C8">
      <w:numFmt w:val="decimal"/>
      <w:lvlText w:val=""/>
      <w:lvlJc w:val="left"/>
      <w:pPr>
        <w:ind w:left="0" w:firstLine="0"/>
      </w:pPr>
    </w:lvl>
    <w:lvl w:ilvl="7" w:tplc="CF7C45DC">
      <w:numFmt w:val="decimal"/>
      <w:lvlText w:val=""/>
      <w:lvlJc w:val="left"/>
      <w:pPr>
        <w:ind w:left="0" w:firstLine="0"/>
      </w:pPr>
    </w:lvl>
    <w:lvl w:ilvl="8" w:tplc="86C4A05A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B864D99"/>
    <w:multiLevelType w:val="hybridMultilevel"/>
    <w:tmpl w:val="8E50364A"/>
    <w:lvl w:ilvl="0" w:tplc="2430C5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F962094"/>
    <w:multiLevelType w:val="hybridMultilevel"/>
    <w:tmpl w:val="E9260446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B3686"/>
    <w:multiLevelType w:val="hybridMultilevel"/>
    <w:tmpl w:val="CA3CFC70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4903">
    <w:abstractNumId w:val="0"/>
  </w:num>
  <w:num w:numId="2" w16cid:durableId="149090462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0633710">
    <w:abstractNumId w:val="8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650137070">
    <w:abstractNumId w:val="11"/>
  </w:num>
  <w:num w:numId="5" w16cid:durableId="2097089717">
    <w:abstractNumId w:val="3"/>
  </w:num>
  <w:num w:numId="6" w16cid:durableId="1226645399">
    <w:abstractNumId w:val="1"/>
  </w:num>
  <w:num w:numId="7" w16cid:durableId="911234550">
    <w:abstractNumId w:val="2"/>
  </w:num>
  <w:num w:numId="8" w16cid:durableId="397172484">
    <w:abstractNumId w:val="10"/>
  </w:num>
  <w:num w:numId="9" w16cid:durableId="1653176748">
    <w:abstractNumId w:val="5"/>
  </w:num>
  <w:num w:numId="10" w16cid:durableId="1397361172">
    <w:abstractNumId w:val="7"/>
  </w:num>
  <w:num w:numId="11" w16cid:durableId="2127308614">
    <w:abstractNumId w:val="4"/>
  </w:num>
  <w:num w:numId="12" w16cid:durableId="205528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0B"/>
    <w:rsid w:val="00000659"/>
    <w:rsid w:val="00016CC4"/>
    <w:rsid w:val="000175C8"/>
    <w:rsid w:val="00043D37"/>
    <w:rsid w:val="000539B2"/>
    <w:rsid w:val="000715D2"/>
    <w:rsid w:val="000952D8"/>
    <w:rsid w:val="000B1481"/>
    <w:rsid w:val="000B7D45"/>
    <w:rsid w:val="000E437B"/>
    <w:rsid w:val="000F7ABD"/>
    <w:rsid w:val="00105DE4"/>
    <w:rsid w:val="0010722F"/>
    <w:rsid w:val="0011641A"/>
    <w:rsid w:val="00150043"/>
    <w:rsid w:val="00152A3C"/>
    <w:rsid w:val="001615A2"/>
    <w:rsid w:val="001663F7"/>
    <w:rsid w:val="00176684"/>
    <w:rsid w:val="001A3520"/>
    <w:rsid w:val="001D7CFC"/>
    <w:rsid w:val="002337B5"/>
    <w:rsid w:val="00290F15"/>
    <w:rsid w:val="002B0FE4"/>
    <w:rsid w:val="002D1F9B"/>
    <w:rsid w:val="002E36B5"/>
    <w:rsid w:val="002F5444"/>
    <w:rsid w:val="00301C53"/>
    <w:rsid w:val="00316D0A"/>
    <w:rsid w:val="003456CF"/>
    <w:rsid w:val="00357F96"/>
    <w:rsid w:val="0036751E"/>
    <w:rsid w:val="00381E70"/>
    <w:rsid w:val="00386F61"/>
    <w:rsid w:val="003B7914"/>
    <w:rsid w:val="003C0B90"/>
    <w:rsid w:val="003C2819"/>
    <w:rsid w:val="003C5947"/>
    <w:rsid w:val="003E2FC2"/>
    <w:rsid w:val="003F37AA"/>
    <w:rsid w:val="003F456D"/>
    <w:rsid w:val="0040613D"/>
    <w:rsid w:val="00433205"/>
    <w:rsid w:val="004368EE"/>
    <w:rsid w:val="00447200"/>
    <w:rsid w:val="00475A60"/>
    <w:rsid w:val="004808DD"/>
    <w:rsid w:val="00483B0C"/>
    <w:rsid w:val="00496EE4"/>
    <w:rsid w:val="004A7571"/>
    <w:rsid w:val="004B2FFE"/>
    <w:rsid w:val="004B7256"/>
    <w:rsid w:val="004F2E3C"/>
    <w:rsid w:val="00570318"/>
    <w:rsid w:val="00582B04"/>
    <w:rsid w:val="005C69DB"/>
    <w:rsid w:val="005D0251"/>
    <w:rsid w:val="005E0A51"/>
    <w:rsid w:val="006010D1"/>
    <w:rsid w:val="00615837"/>
    <w:rsid w:val="00621F97"/>
    <w:rsid w:val="00662CE8"/>
    <w:rsid w:val="0067469B"/>
    <w:rsid w:val="006B3CBB"/>
    <w:rsid w:val="006C0C6C"/>
    <w:rsid w:val="006C4790"/>
    <w:rsid w:val="006D4037"/>
    <w:rsid w:val="007055F9"/>
    <w:rsid w:val="00710F1C"/>
    <w:rsid w:val="007157CA"/>
    <w:rsid w:val="007160D5"/>
    <w:rsid w:val="00736EEE"/>
    <w:rsid w:val="00770603"/>
    <w:rsid w:val="007723D8"/>
    <w:rsid w:val="00797F12"/>
    <w:rsid w:val="007A04E6"/>
    <w:rsid w:val="007A360C"/>
    <w:rsid w:val="007A668D"/>
    <w:rsid w:val="007C2DF3"/>
    <w:rsid w:val="007E16A7"/>
    <w:rsid w:val="007E7E02"/>
    <w:rsid w:val="00802D0F"/>
    <w:rsid w:val="00805E99"/>
    <w:rsid w:val="0080770B"/>
    <w:rsid w:val="00815000"/>
    <w:rsid w:val="00836AE0"/>
    <w:rsid w:val="008545A0"/>
    <w:rsid w:val="00871D30"/>
    <w:rsid w:val="00887FD2"/>
    <w:rsid w:val="008B4381"/>
    <w:rsid w:val="008D6BA4"/>
    <w:rsid w:val="008F1618"/>
    <w:rsid w:val="00922A56"/>
    <w:rsid w:val="00924E27"/>
    <w:rsid w:val="00926A27"/>
    <w:rsid w:val="00951BF4"/>
    <w:rsid w:val="00982F83"/>
    <w:rsid w:val="00997CB0"/>
    <w:rsid w:val="009B4066"/>
    <w:rsid w:val="009D0AA8"/>
    <w:rsid w:val="00A0797B"/>
    <w:rsid w:val="00A10523"/>
    <w:rsid w:val="00A43062"/>
    <w:rsid w:val="00A45813"/>
    <w:rsid w:val="00A62C32"/>
    <w:rsid w:val="00A7453E"/>
    <w:rsid w:val="00AB479D"/>
    <w:rsid w:val="00AC78AE"/>
    <w:rsid w:val="00B1256C"/>
    <w:rsid w:val="00B268F3"/>
    <w:rsid w:val="00BA0205"/>
    <w:rsid w:val="00BB7F4B"/>
    <w:rsid w:val="00C01FDC"/>
    <w:rsid w:val="00C26B0B"/>
    <w:rsid w:val="00C2761D"/>
    <w:rsid w:val="00CA216F"/>
    <w:rsid w:val="00CA2767"/>
    <w:rsid w:val="00CA7FB9"/>
    <w:rsid w:val="00CB0A80"/>
    <w:rsid w:val="00CB3B20"/>
    <w:rsid w:val="00D12714"/>
    <w:rsid w:val="00D4327E"/>
    <w:rsid w:val="00D464BB"/>
    <w:rsid w:val="00D6174A"/>
    <w:rsid w:val="00D61F74"/>
    <w:rsid w:val="00D737BD"/>
    <w:rsid w:val="00D815C4"/>
    <w:rsid w:val="00D8553B"/>
    <w:rsid w:val="00DA1E6F"/>
    <w:rsid w:val="00DB2EC4"/>
    <w:rsid w:val="00DC3D9F"/>
    <w:rsid w:val="00DE23B2"/>
    <w:rsid w:val="00DE347C"/>
    <w:rsid w:val="00E15770"/>
    <w:rsid w:val="00E31FFD"/>
    <w:rsid w:val="00E34466"/>
    <w:rsid w:val="00E532E3"/>
    <w:rsid w:val="00E63FAB"/>
    <w:rsid w:val="00E73855"/>
    <w:rsid w:val="00E7780B"/>
    <w:rsid w:val="00EB28FB"/>
    <w:rsid w:val="00EE2215"/>
    <w:rsid w:val="00F124A6"/>
    <w:rsid w:val="00F16B7D"/>
    <w:rsid w:val="00F23683"/>
    <w:rsid w:val="00F245E7"/>
    <w:rsid w:val="00F25AFB"/>
    <w:rsid w:val="00F330A4"/>
    <w:rsid w:val="00F5220B"/>
    <w:rsid w:val="00F55FDD"/>
    <w:rsid w:val="00F63661"/>
    <w:rsid w:val="00F65230"/>
    <w:rsid w:val="00F70EDC"/>
    <w:rsid w:val="00F90D1E"/>
    <w:rsid w:val="00F91B5A"/>
    <w:rsid w:val="00FA4580"/>
    <w:rsid w:val="00FA7F32"/>
    <w:rsid w:val="00FC12AB"/>
    <w:rsid w:val="00FD00DF"/>
    <w:rsid w:val="00FD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B7CD"/>
  <w15:docId w15:val="{1308BF3D-B14D-4534-B367-EBF4871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577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770"/>
  </w:style>
  <w:style w:type="paragraph" w:styleId="Pta">
    <w:name w:val="footer"/>
    <w:basedOn w:val="Normlny"/>
    <w:link w:val="Pt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770"/>
  </w:style>
  <w:style w:type="paragraph" w:styleId="Normlnywebov">
    <w:name w:val="Normal (Web)"/>
    <w:basedOn w:val="Normlny"/>
    <w:uiPriority w:val="99"/>
    <w:unhideWhenUsed/>
    <w:rsid w:val="00E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7A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160D5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A8C3-7CEB-422A-BB8E-6D900274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TRUNI</dc:creator>
  <cp:lastModifiedBy>Tibenská Zuzana</cp:lastModifiedBy>
  <cp:revision>5</cp:revision>
  <cp:lastPrinted>2026-04-22T10:49:00Z</cp:lastPrinted>
  <dcterms:created xsi:type="dcterms:W3CDTF">2026-04-23T06:30:00Z</dcterms:created>
  <dcterms:modified xsi:type="dcterms:W3CDTF">2026-04-24T09:01:00Z</dcterms:modified>
</cp:coreProperties>
</file>