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A42529" w14:paraId="50EE4E6D" w14:textId="77777777">
        <w:trPr>
          <w:jc w:val="center"/>
        </w:trPr>
        <w:tc>
          <w:tcPr>
            <w:tcW w:w="2436" w:type="dxa"/>
          </w:tcPr>
          <w:bookmarkStart w:id="0" w:name="_MON_1011181764"/>
          <w:bookmarkStart w:id="1" w:name="_MON_1146392510"/>
          <w:bookmarkEnd w:id="0"/>
          <w:bookmarkEnd w:id="1"/>
          <w:bookmarkStart w:id="2" w:name="_MON_1146392662"/>
          <w:bookmarkEnd w:id="2"/>
          <w:p w14:paraId="69E3D94A" w14:textId="77777777" w:rsidR="00325EA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A42529">
              <w:rPr>
                <w:rFonts w:asciiTheme="minorHAnsi" w:hAnsiTheme="minorHAnsi" w:cstheme="minorHAnsi"/>
                <w:color w:val="FF0000"/>
                <w:sz w:val="22"/>
              </w:rPr>
              <w:object w:dxaOrig="2221" w:dyaOrig="2146" w14:anchorId="6A956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808894342" r:id="rId9"/>
              </w:object>
            </w:r>
          </w:p>
        </w:tc>
        <w:tc>
          <w:tcPr>
            <w:tcW w:w="5554" w:type="dxa"/>
          </w:tcPr>
          <w:p w14:paraId="6513D0E2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    </w:t>
            </w:r>
          </w:p>
          <w:p w14:paraId="4441689C" w14:textId="77777777" w:rsidR="00325EA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</w:t>
            </w:r>
            <w:r w:rsidR="00325EA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Trnavská univerzita </w:t>
            </w:r>
          </w:p>
          <w:p w14:paraId="1C5701D7" w14:textId="77777777" w:rsidR="00325EA9" w:rsidRPr="00A42529" w:rsidRDefault="00325EA9">
            <w:pPr>
              <w:pStyle w:val="Nadpis1"/>
              <w:jc w:val="left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</w:t>
            </w:r>
            <w:r w:rsidR="003033E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   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>v Trnave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A42529" w14:paraId="63987E53" w14:textId="77777777">
        <w:trPr>
          <w:jc w:val="center"/>
        </w:trPr>
        <w:tc>
          <w:tcPr>
            <w:tcW w:w="2436" w:type="dxa"/>
          </w:tcPr>
          <w:p w14:paraId="614383B6" w14:textId="77777777" w:rsidR="003033E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5554" w:type="dxa"/>
          </w:tcPr>
          <w:p w14:paraId="7620CE55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</w:p>
        </w:tc>
      </w:tr>
    </w:tbl>
    <w:p w14:paraId="6C332246" w14:textId="77777777" w:rsidR="00325EA9" w:rsidRPr="00A42529" w:rsidRDefault="00325EA9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00B6B565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7C598EC6" w14:textId="77777777" w:rsidR="00F654B1" w:rsidRPr="00A42529" w:rsidRDefault="00F654B1" w:rsidP="00F654B1">
      <w:pPr>
        <w:rPr>
          <w:rFonts w:asciiTheme="minorHAnsi" w:hAnsiTheme="minorHAnsi" w:cstheme="minorHAnsi"/>
          <w:b/>
          <w:color w:val="FF0000"/>
          <w:sz w:val="56"/>
        </w:rPr>
      </w:pPr>
    </w:p>
    <w:p w14:paraId="12C72CC8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14:paraId="7E0DB46B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Trnavskej univerzity v Trnave </w:t>
      </w:r>
    </w:p>
    <w:p w14:paraId="6ECF5CD0" w14:textId="40C4A4F5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za rok 202</w:t>
      </w:r>
      <w:r w:rsidR="002676EA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4</w:t>
      </w:r>
    </w:p>
    <w:p w14:paraId="24287FCA" w14:textId="5E5C4136" w:rsidR="00F654B1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143E8B16" w14:textId="77777777" w:rsidR="00B80627" w:rsidRPr="00A42529" w:rsidRDefault="00B80627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40BB355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8F9EC9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56F77B6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F472BD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8699A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6632BF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4599951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FFA6E33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35626D40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C05F81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C0C051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42B2E2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7973562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2EE7E3E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11F76C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7F1B8F6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5F59FCB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A42156A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A42529">
        <w:rPr>
          <w:rFonts w:asciiTheme="minorHAnsi" w:hAnsiTheme="minorHAnsi" w:cstheme="minorHAnsi"/>
          <w:color w:val="000000" w:themeColor="text1"/>
          <w:sz w:val="24"/>
        </w:rPr>
        <w:t>Trnava</w:t>
      </w:r>
    </w:p>
    <w:p w14:paraId="743C37CE" w14:textId="5AFD6839" w:rsidR="00F654B1" w:rsidRPr="00A42529" w:rsidRDefault="007C1A53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apríl</w:t>
      </w:r>
      <w:r w:rsidR="00F654B1" w:rsidRPr="00A42529">
        <w:rPr>
          <w:rFonts w:asciiTheme="minorHAnsi" w:hAnsiTheme="minorHAnsi" w:cstheme="minorHAnsi"/>
          <w:color w:val="000000" w:themeColor="text1"/>
          <w:sz w:val="24"/>
        </w:rPr>
        <w:t xml:space="preserve"> 202</w:t>
      </w:r>
      <w:r w:rsidR="00A25931">
        <w:rPr>
          <w:rFonts w:asciiTheme="minorHAnsi" w:hAnsiTheme="minorHAnsi" w:cstheme="minorHAnsi"/>
          <w:color w:val="000000" w:themeColor="text1"/>
          <w:sz w:val="24"/>
        </w:rPr>
        <w:t>4</w:t>
      </w:r>
    </w:p>
    <w:p w14:paraId="4535D1CC" w14:textId="77777777" w:rsidR="00F654B1" w:rsidRDefault="00F654B1" w:rsidP="00F654B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FE39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108C8D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00F52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DF893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E519B" w14:textId="4EC95DBD" w:rsidR="00F654B1" w:rsidRPr="00A42529" w:rsidRDefault="00F654B1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>OBSAH</w:t>
      </w:r>
    </w:p>
    <w:p w14:paraId="6C4D80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938A89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C7DC71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744C4161" w14:textId="2DA7769A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Textová časť</w:t>
      </w:r>
    </w:p>
    <w:p w14:paraId="2C751C8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3D51FD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346EE6" w14:textId="6EFB34EB" w:rsidR="00F654B1" w:rsidRPr="00A42529" w:rsidRDefault="00F654B1" w:rsidP="00F654B1">
      <w:pPr>
        <w:spacing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Základné údaje o univerzite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 w:rsidRPr="00BC0C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BC0C5E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="00761EBB" w:rsidRPr="00BC0C5E">
        <w:rPr>
          <w:rFonts w:asciiTheme="minorHAnsi" w:hAnsiTheme="minorHAnsi" w:cstheme="minorHAnsi"/>
          <w:bCs/>
          <w:i/>
          <w:sz w:val="22"/>
          <w:szCs w:val="22"/>
        </w:rPr>
        <w:t>4</w:t>
      </w:r>
    </w:p>
    <w:p w14:paraId="708F52EE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6D6B72" w14:textId="07EF4E0C" w:rsidR="00F654B1" w:rsidRPr="00BC0C5E" w:rsidRDefault="00F654B1" w:rsidP="00F654B1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ÚVOD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r w:rsidR="009B29EC" w:rsidRPr="00BC0C5E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r w:rsidRPr="00BC0C5E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r w:rsidR="00761EBB" w:rsidRPr="00BC0C5E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5</w:t>
      </w:r>
    </w:p>
    <w:p w14:paraId="11BFDF57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E7C7CD" w14:textId="30D65821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ROČNÁ  ÚČTOVNÁ  ZÁVIERKA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B29EC" w:rsidRPr="00BC0C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5267B" w:rsidRPr="00BC0C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61EBB" w:rsidRPr="00BC0C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</w:p>
    <w:p w14:paraId="3EE8C9FB" w14:textId="7D885C04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Súvaha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0C5E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</w:p>
    <w:p w14:paraId="0399791B" w14:textId="44796928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510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5F1C2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</w:p>
    <w:p w14:paraId="31C7A8E5" w14:textId="1FFF2686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1.3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Poznámky k účtovnej závierke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5103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53A739D9" w14:textId="2EE86D5B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Rozbor hospodárskeho výsledku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5103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51631FCF" w14:textId="2077FDE3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Hlavná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5103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62C82A34" w14:textId="4323BA46" w:rsidR="00F654B1" w:rsidRPr="00A42529" w:rsidRDefault="00F654B1" w:rsidP="00F654B1">
      <w:pPr>
        <w:shd w:val="clear" w:color="auto" w:fill="FFFFFF"/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Podnikateľská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267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5103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3407FD36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89BECF" w14:textId="6E04979F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ANALÝZA  VÝNOSOV  A NÁKLADOV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B119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0C69DBE7" w14:textId="5D5BC714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príjmov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B119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4851381E" w14:textId="0244EF8A" w:rsidR="00F2171E" w:rsidRPr="00960A30" w:rsidRDefault="00F2171E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>2.2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  <w:t>1</w:t>
      </w:r>
      <w:r w:rsidR="00E60FD1">
        <w:rPr>
          <w:rFonts w:asciiTheme="minorHAnsi" w:hAnsiTheme="minorHAnsi" w:cstheme="minorHAnsi"/>
          <w:sz w:val="22"/>
          <w:szCs w:val="22"/>
        </w:rPr>
        <w:t>6</w:t>
      </w:r>
    </w:p>
    <w:p w14:paraId="5425D215" w14:textId="6873B3E3" w:rsidR="00F654B1" w:rsidRPr="00960A30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 xml:space="preserve">2.1.1 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 z hlavnej činnosti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="00F2171E" w:rsidRPr="00960A30">
        <w:rPr>
          <w:rFonts w:asciiTheme="minorHAnsi" w:hAnsiTheme="minorHAnsi" w:cstheme="minorHAnsi"/>
          <w:sz w:val="22"/>
          <w:szCs w:val="22"/>
        </w:rPr>
        <w:t>1</w:t>
      </w:r>
      <w:r w:rsidR="00E60FD1">
        <w:rPr>
          <w:rFonts w:asciiTheme="minorHAnsi" w:hAnsiTheme="minorHAnsi" w:cstheme="minorHAnsi"/>
          <w:sz w:val="22"/>
          <w:szCs w:val="22"/>
        </w:rPr>
        <w:t>6</w:t>
      </w:r>
    </w:p>
    <w:p w14:paraId="49F94D10" w14:textId="6E368ECB" w:rsidR="00F654B1" w:rsidRPr="00960A30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0A30">
        <w:rPr>
          <w:rFonts w:asciiTheme="minorHAnsi" w:hAnsiTheme="minorHAnsi" w:cstheme="minorHAnsi"/>
          <w:sz w:val="22"/>
          <w:szCs w:val="22"/>
        </w:rPr>
        <w:t xml:space="preserve">2.1.2 </w:t>
      </w:r>
      <w:r w:rsidRPr="00960A30">
        <w:rPr>
          <w:rFonts w:asciiTheme="minorHAnsi" w:hAnsiTheme="minorHAnsi" w:cstheme="minorHAnsi"/>
          <w:sz w:val="22"/>
          <w:szCs w:val="22"/>
        </w:rPr>
        <w:tab/>
        <w:t>Analýza výnosov z podnikateľskej činnosti</w:t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Pr="00960A30">
        <w:rPr>
          <w:rFonts w:asciiTheme="minorHAnsi" w:hAnsiTheme="minorHAnsi" w:cstheme="minorHAnsi"/>
          <w:sz w:val="22"/>
          <w:szCs w:val="22"/>
        </w:rPr>
        <w:tab/>
      </w:r>
      <w:r w:rsidR="00F2171E" w:rsidRPr="00960A30">
        <w:rPr>
          <w:rFonts w:asciiTheme="minorHAnsi" w:hAnsiTheme="minorHAnsi" w:cstheme="minorHAnsi"/>
          <w:sz w:val="22"/>
          <w:szCs w:val="22"/>
        </w:rPr>
        <w:t>1</w:t>
      </w:r>
      <w:r w:rsidR="00E60FD1">
        <w:rPr>
          <w:rFonts w:asciiTheme="minorHAnsi" w:hAnsiTheme="minorHAnsi" w:cstheme="minorHAnsi"/>
          <w:sz w:val="22"/>
          <w:szCs w:val="22"/>
        </w:rPr>
        <w:t>6</w:t>
      </w:r>
    </w:p>
    <w:p w14:paraId="7C0E4C0E" w14:textId="2D005EF9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resp. výdavkov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60FD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</w:p>
    <w:p w14:paraId="4B88AED8" w14:textId="2BE11DE9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 hlavnej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60FD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</w:p>
    <w:p w14:paraId="55A874C0" w14:textId="6D7A3A4F" w:rsidR="00F654B1" w:rsidRDefault="00F654B1" w:rsidP="00F654B1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 podnikateľskej činnosti</w:t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9E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171E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14:paraId="3A93D340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C0E7F" w14:textId="0DCFCEA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VÝVOJ  FONDOV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</w:t>
      </w:r>
      <w:r w:rsidR="00A447E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</w:p>
    <w:p w14:paraId="53650C95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07FED" w14:textId="065130BD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REKAPITULÁCIA ZÚČTOVANIA  SO  ŠTÁTNYM  ROZPOČTOM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BC0C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A447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</w:p>
    <w:p w14:paraId="36589219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E98B3D" w14:textId="460BEE63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ZÁVER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BC0C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A447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</w:p>
    <w:p w14:paraId="608FB246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B6FEE0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E5C89E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22408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13237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9442F3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7D470E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BFB330A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EE1F5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D950F4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A785C3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01021AA" w14:textId="77777777" w:rsidR="00B21777" w:rsidRDefault="00B21777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14:paraId="6444D965" w14:textId="77777777" w:rsidR="00F654B1" w:rsidRPr="00A42529" w:rsidRDefault="00F654B1" w:rsidP="00F654B1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proofErr w:type="spellStart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Prílohová</w:t>
      </w:r>
      <w:proofErr w:type="spellEnd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časť</w:t>
      </w:r>
    </w:p>
    <w:p w14:paraId="1432FAD6" w14:textId="78B54A9A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FBF0FA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CD992C" w14:textId="3AF3250C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Ročná účtovná závierka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(Súvaha, Výkaz ziskov a strát, Poznámky </w:t>
      </w:r>
    </w:p>
    <w:p w14:paraId="2479CDA8" w14:textId="7D0D6EDD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 ročnej závierke)</w:t>
      </w:r>
    </w:p>
    <w:p w14:paraId="0763110B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3D2BF9" w14:textId="00C58267" w:rsidR="00F654B1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(len sociálna podpora študentov)</w:t>
      </w:r>
    </w:p>
    <w:p w14:paraId="325EC4EB" w14:textId="77777777" w:rsidR="00B21777" w:rsidRPr="00A42529" w:rsidRDefault="00B21777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A4BBB9" w14:textId="0D15DCA2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Rozdelenie zisku (straty) v schvaľovacom konaní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56188908" w14:textId="77777777" w:rsidR="00F654B1" w:rsidRPr="00B44799" w:rsidRDefault="00F654B1" w:rsidP="00F654B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FF0000"/>
        </w:rPr>
      </w:pPr>
      <w:r w:rsidRPr="00B44799">
        <w:rPr>
          <w:rFonts w:asciiTheme="minorHAnsi" w:hAnsiTheme="minorHAnsi" w:cstheme="minorHAnsi"/>
          <w:color w:val="000000" w:themeColor="text1"/>
        </w:rPr>
        <w:br w:type="page"/>
      </w:r>
    </w:p>
    <w:p w14:paraId="064DE1B5" w14:textId="77777777" w:rsidR="00F654B1" w:rsidRPr="00C25A3A" w:rsidRDefault="00F654B1" w:rsidP="00F654B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A3A">
        <w:rPr>
          <w:rFonts w:asciiTheme="minorHAnsi" w:hAnsiTheme="minorHAnsi" w:cstheme="minorHAnsi"/>
          <w:b/>
          <w:sz w:val="22"/>
          <w:szCs w:val="22"/>
        </w:rPr>
        <w:t>Základné údaje o univerzite:</w:t>
      </w:r>
    </w:p>
    <w:p w14:paraId="74D8A282" w14:textId="77777777" w:rsidR="00F654B1" w:rsidRPr="00C25A3A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5DF598D" w14:textId="77777777" w:rsidR="00F654B1" w:rsidRPr="00C25A3A" w:rsidRDefault="00F654B1" w:rsidP="00F654B1">
      <w:pPr>
        <w:rPr>
          <w:rFonts w:asciiTheme="minorHAnsi" w:eastAsia="PMingLiU-ExtB" w:hAnsiTheme="minorHAnsi" w:cstheme="minorHAnsi"/>
          <w:b/>
          <w:sz w:val="22"/>
          <w:szCs w:val="22"/>
        </w:rPr>
      </w:pPr>
      <w:r w:rsidRPr="00C25A3A">
        <w:rPr>
          <w:rFonts w:asciiTheme="minorHAnsi" w:eastAsia="PMingLiU-ExtB" w:hAnsiTheme="minorHAnsi" w:cstheme="minorHAnsi"/>
          <w:sz w:val="22"/>
          <w:szCs w:val="22"/>
        </w:rPr>
        <w:t>Názov:</w:t>
      </w:r>
      <w:r w:rsidRPr="00C25A3A">
        <w:rPr>
          <w:rFonts w:asciiTheme="minorHAnsi" w:hAnsiTheme="minorHAnsi" w:cstheme="minorHAnsi"/>
          <w:sz w:val="22"/>
          <w:szCs w:val="22"/>
        </w:rPr>
        <w:t xml:space="preserve"> 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  <w:r w:rsidRPr="00C25A3A">
        <w:rPr>
          <w:rFonts w:asciiTheme="minorHAnsi" w:eastAsia="PMingLiU-ExtB" w:hAnsiTheme="minorHAnsi" w:cstheme="minorHAnsi"/>
          <w:b/>
          <w:sz w:val="22"/>
          <w:szCs w:val="22"/>
        </w:rPr>
        <w:t xml:space="preserve"> Trnavská univerzita v Trnave</w:t>
      </w:r>
    </w:p>
    <w:p w14:paraId="547B47AB" w14:textId="77777777" w:rsidR="00F654B1" w:rsidRPr="00C25A3A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25A3A">
        <w:rPr>
          <w:rFonts w:asciiTheme="minorHAnsi" w:hAnsiTheme="minorHAnsi" w:cstheme="minorHAnsi"/>
          <w:sz w:val="22"/>
          <w:szCs w:val="22"/>
        </w:rPr>
        <w:t>Sídlo: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proofErr w:type="spellStart"/>
      <w:r w:rsidRPr="00C25A3A">
        <w:rPr>
          <w:rFonts w:asciiTheme="minorHAnsi" w:hAnsiTheme="minorHAnsi" w:cstheme="minorHAnsi"/>
          <w:sz w:val="22"/>
          <w:szCs w:val="22"/>
        </w:rPr>
        <w:t>Hornopotočná</w:t>
      </w:r>
      <w:proofErr w:type="spellEnd"/>
      <w:r w:rsidRPr="00C25A3A">
        <w:rPr>
          <w:rFonts w:asciiTheme="minorHAnsi" w:hAnsiTheme="minorHAnsi" w:cstheme="minorHAnsi"/>
          <w:sz w:val="22"/>
          <w:szCs w:val="22"/>
        </w:rPr>
        <w:t xml:space="preserve"> ul. č. 23, 918 43  Trnava</w:t>
      </w:r>
    </w:p>
    <w:p w14:paraId="187955F9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  <w:r w:rsidRPr="00A42529">
        <w:rPr>
          <w:rFonts w:asciiTheme="minorHAnsi" w:hAnsiTheme="minorHAnsi" w:cstheme="minorHAnsi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5634" wp14:editId="3D57E8B9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8E39F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Pr="00A42529">
        <w:rPr>
          <w:rFonts w:asciiTheme="minorHAnsi" w:hAnsiTheme="minorHAnsi" w:cstheme="minorHAnsi"/>
          <w:color w:val="FF0000"/>
        </w:rPr>
        <w:t xml:space="preserve"> </w:t>
      </w:r>
    </w:p>
    <w:p w14:paraId="01E3E5B0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1EEF3535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59D8E26F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7073A54C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Súčasti Trnavskej univerzity v Trnave:</w:t>
      </w:r>
    </w:p>
    <w:p w14:paraId="1F9940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555803C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fakulty univerzity,</w:t>
      </w:r>
    </w:p>
    <w:p w14:paraId="2C95436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pracoviská univerzity,</w:t>
      </w:r>
    </w:p>
    <w:p w14:paraId="7546BD8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účelové zariadenia univerzity.</w:t>
      </w:r>
    </w:p>
    <w:p w14:paraId="35E19CF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B50718D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820E75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156F800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7074EF37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Na Trnavskej univerzite v Trnave pôsobia tieto fakulty:</w:t>
      </w:r>
    </w:p>
    <w:p w14:paraId="5109FB4E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6FAAF97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Filozofická fakulta (FF),</w:t>
      </w:r>
    </w:p>
    <w:p w14:paraId="5A2ED59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Pedagogická fakulta (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>),</w:t>
      </w:r>
    </w:p>
    <w:p w14:paraId="51C4383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Fakulta zdravotníctva a sociálnej práce (FZaSP),</w:t>
      </w:r>
    </w:p>
    <w:p w14:paraId="6FACE7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Teologická fakulta (TF),</w:t>
      </w:r>
    </w:p>
    <w:p w14:paraId="573AE83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Právnická fakulta (PF).</w:t>
      </w:r>
    </w:p>
    <w:p w14:paraId="09EAFBB8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6C779B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D9634D4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6759B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68E7122A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Pracoviská Trnavskej univerzity v Trnave sú:</w:t>
      </w:r>
    </w:p>
    <w:p w14:paraId="03B0B76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2D79356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Rektorát univerzity (RTU),</w:t>
      </w:r>
    </w:p>
    <w:p w14:paraId="1E0266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Centrum informačných systémov (CIS),</w:t>
      </w:r>
    </w:p>
    <w:p w14:paraId="5D1DF598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Univerzitná knižnica (UK),</w:t>
      </w:r>
    </w:p>
    <w:p w14:paraId="6163B31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Vydavateľstvo TYPI UNIVERSTATIS TYRNAVIENSIS (TUT),</w:t>
      </w:r>
    </w:p>
    <w:p w14:paraId="48D96DC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Ústav dejín Trnavskej univerzity (ÚD TU),</w:t>
      </w:r>
    </w:p>
    <w:p w14:paraId="5854C2D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6. Slovenský historický ústav v Ríme (SHÚ),</w:t>
      </w:r>
    </w:p>
    <w:p w14:paraId="46C33BE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7. Centrum ďalšieho vzdelávania (CĎV).</w:t>
      </w:r>
    </w:p>
    <w:p w14:paraId="4ADE9EB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97B54A7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B6B6E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3856F2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1071C0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Účelové zariadenie Trnavskej univerzity v Trnave sú:</w:t>
      </w:r>
    </w:p>
    <w:p w14:paraId="08CB8DC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40B5647" w14:textId="77777777" w:rsidR="00F654B1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1. Študentský domov Petra Pázmaňa (ŠD) </w:t>
      </w:r>
    </w:p>
    <w:p w14:paraId="41F9A33E" w14:textId="1D58356F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F861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5D5B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7A3EBB4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51897E8" w14:textId="77777777" w:rsidR="00F654B1" w:rsidRPr="00A42529" w:rsidRDefault="00F654B1" w:rsidP="00F654B1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ÚVOD</w:t>
      </w:r>
    </w:p>
    <w:p w14:paraId="0B887E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0E64A2E2" w14:textId="030A5CD1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Výročnú správu o hospodárení predkladá Trnavská univerzita v Trnave („Trnavská univerzita“) v súlade so zákonom č. 131/2002 Z.z. § 20 ods. 1 písm. b)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metodickým usmernením k výročnej správe o hospodárení verejnej vysokej školy za rok 202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smernicou Ministerstva školstva, vedy, výskumu a športu SR („MŠVVaŠ SR“) č.46/2011, ktorou sa určuje forma a termín predkladania výročnej správy o činnosti vysokej školy a výročnej správy o hospodárení vysokej školy.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14:paraId="45C97D8F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2BF66" w14:textId="2E2D11F2" w:rsidR="00F654B1" w:rsidRDefault="00F654B1" w:rsidP="00F654B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Výročná správa o hospodárení Trnavskej univerzity za rok 202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poskytuje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: </w:t>
      </w:r>
    </w:p>
    <w:p w14:paraId="5ED58DD6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základné informácie o  finančnej a majetkovej situácii univerzity v rozsahu stanovenom zákonom o účtovníctve za hlavnú a podnikateľskú činnosť, </w:t>
      </w:r>
    </w:p>
    <w:p w14:paraId="41AF2628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analýzu nákladov a výnosov, resp. príjmov a výdavkov, </w:t>
      </w:r>
    </w:p>
    <w:p w14:paraId="77579715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stav a pohyb majetku, </w:t>
      </w:r>
    </w:p>
    <w:p w14:paraId="764BF690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zúčtovanie použitia dotácií poskytnutých Trnavskej univerzite zo štátneho rozpočtu </w:t>
      </w:r>
      <w:r w:rsidRPr="00C25A3A">
        <w:rPr>
          <w:rFonts w:asciiTheme="minorHAnsi" w:hAnsiTheme="minorHAnsi" w:cstheme="minorHAnsi"/>
          <w:bCs/>
          <w:color w:val="000000" w:themeColor="text1"/>
          <w:lang w:eastAsia="sk-SK"/>
        </w:rPr>
        <w:t xml:space="preserve">prostredníctvom rozpočtu </w:t>
      </w:r>
      <w:r w:rsidRPr="00C25A3A">
        <w:rPr>
          <w:rFonts w:asciiTheme="minorHAnsi" w:hAnsiTheme="minorHAnsi" w:cstheme="minorHAnsi"/>
          <w:color w:val="000000" w:themeColor="text1"/>
        </w:rPr>
        <w:t xml:space="preserve">MŠVVaŠ SR, </w:t>
      </w:r>
    </w:p>
    <w:p w14:paraId="5B3EEEEB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</w:rPr>
        <w:t>vývoj a stav fondov a návrh rozdelenia zisku</w:t>
      </w: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. </w:t>
      </w:r>
    </w:p>
    <w:p w14:paraId="186089E9" w14:textId="77777777" w:rsidR="00F654B1" w:rsidRPr="00A42529" w:rsidRDefault="00F654B1" w:rsidP="00F654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Prezentované výsledky zahŕňajú hospodárenie všetkých súčastí Trnavskej univerzity jednotlivých fakúlt a ostatných univerzitných pracovísk a účelových zariadení.</w:t>
      </w:r>
    </w:p>
    <w:p w14:paraId="4A976FA2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2EA27856" w14:textId="78667D5E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Trnavská univerzita hospodárila v roku 202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na základe rozpočtu na rok 202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Trnavskej univerzity v súlade so zákonom o VŠ a so zákonom č. 523/2004 Z.z. o rozpočtových pravidlách v znení neskorších predpisov. </w:t>
      </w:r>
    </w:p>
    <w:p w14:paraId="29EF56F5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7B511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Hlavným zdrojom financovania boli finančné prostriedky pridelené  Trnavskej univerzite zo štátneho rozpočtu prostredníctvom rozpočtu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MŠVVaŠ SR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, na základe dotačnej zmluvy a jej dodatkov.</w:t>
      </w:r>
    </w:p>
    <w:p w14:paraId="1D1A32A2" w14:textId="77777777" w:rsidR="00F654B1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5B711F" w14:textId="77777777" w:rsidR="005452F6" w:rsidRPr="00A42529" w:rsidRDefault="005452F6" w:rsidP="00F654B1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152215" w14:textId="77777777" w:rsidR="00F654B1" w:rsidRPr="00A42529" w:rsidRDefault="00F654B1" w:rsidP="00F654B1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ROČNÁ  ÚČTOVNÁ  ZÁVIERKA</w:t>
      </w:r>
    </w:p>
    <w:p w14:paraId="72C94011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2DABAE1C" w14:textId="364661E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Ročná účtovná závierka má štandardnú štruktúru podľa § 17 zákona č. 431/2002 Z. z. o účtovníctve v znení neskorších predpisov a opatrenia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</w:t>
      </w:r>
      <w:r w:rsidR="00DF67FF" w:rsidRPr="00DF67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 3. novembra  2021 č. MF/011079/2021-74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ktorým sa dopĺňa opatrenie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č.   MF/17616/2013-74 z 30. októbra 2013, ktorým sa ustanovujú účtovné výkazy a rozsah údajov určených z účtovnej závierky na zverejnenie pre účtovné jednotky, ktoré nie sú založené alebo zriadené na účel podnikania, uverejneného vo Finančnom spravodajcovi č. 11/2013, v znení neskorších predpisov a opatrenie Ministerstva financií Slovenskej republiky 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decembra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MF/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014816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-74, ktorým sa mení a dopĺňa opatrenie Ministerstva financií Slovenskej republiky zo 14. novembra 2007 č. MF/24342/2007-74, ktorým sa ustanovujú podrobnosti o postupoch účtovania a účtovej osnove pre účtovné jednotky, ktoré nie sú založené alebo zriadené na účel podnikania v znení neskorších predpisov (uverejnené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vo Finančnom spravodajcovi pod poradovým číslom 28/2020).</w:t>
      </w:r>
    </w:p>
    <w:p w14:paraId="2E432B3C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Ročná účtovná závierka obsahuje nasledovné časti:</w:t>
      </w:r>
    </w:p>
    <w:p w14:paraId="61DE6613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a)  Súvaha a výkaz ziskov a strát   Uč. NUJ 1-01, 2-01,</w:t>
      </w:r>
    </w:p>
    <w:p w14:paraId="2BFED978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i) sumárne za celú verejnú vysokú školu,</w:t>
      </w:r>
    </w:p>
    <w:p w14:paraId="6AE9A004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14:paraId="1FACA7FA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b)  Poznámky k  účtovnej závierke Uč. NUJ 3-01,</w:t>
      </w:r>
    </w:p>
    <w:p w14:paraId="3DB4D24D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c)  Rozbor výsledku hospodárenia.</w:t>
      </w:r>
    </w:p>
    <w:p w14:paraId="5CF49B74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14:paraId="2EFC95EC" w14:textId="3C991DDB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V súlade s ustanovením §19 ods. 3 zákona o vysokých školách 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ne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má univerzita za rok 202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povinnosť overenia účtovnej závierky audítorom. </w:t>
      </w:r>
    </w:p>
    <w:p w14:paraId="2B103DFA" w14:textId="77777777" w:rsidR="00F654B1" w:rsidRPr="00294F8B" w:rsidRDefault="00F654B1" w:rsidP="00F654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Výkazy ročnej účtovnej závierky v bodoch a),   b),  c) sa nachádzajú v prílohe č. 1 tejto správy.     </w:t>
      </w:r>
    </w:p>
    <w:p w14:paraId="29265EFD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B050"/>
        </w:rPr>
      </w:pPr>
    </w:p>
    <w:p w14:paraId="4016C81B" w14:textId="30A97BD4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4507967D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1.1 Súvaha </w:t>
      </w:r>
    </w:p>
    <w:p w14:paraId="4F251BB7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DA5214E" w14:textId="5E3053FA" w:rsidR="00F654B1" w:rsidRPr="0059500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Vykazované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aktíva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predstavujú sumu </w:t>
      </w:r>
      <w:r w:rsidR="0022251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2251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319 516,39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Za sledované obdobie sa objem stálych aktív </w:t>
      </w:r>
      <w:r w:rsidR="002676EA">
        <w:rPr>
          <w:rFonts w:asciiTheme="minorHAnsi" w:hAnsiTheme="minorHAnsi" w:cstheme="minorHAnsi"/>
          <w:sz w:val="22"/>
          <w:szCs w:val="22"/>
        </w:rPr>
        <w:t>zvýšil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2676EA">
        <w:rPr>
          <w:rFonts w:asciiTheme="minorHAnsi" w:hAnsiTheme="minorHAnsi" w:cstheme="minorHAnsi"/>
          <w:sz w:val="22"/>
          <w:szCs w:val="22"/>
        </w:rPr>
        <w:t> 679 105,68</w:t>
      </w:r>
      <w:r w:rsidR="00902E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obstarávacej cene, v zostatkovej hodnote bola hodnota stálych aktív  </w:t>
      </w:r>
      <w:r w:rsidRPr="00595009">
        <w:rPr>
          <w:rFonts w:asciiTheme="minorHAnsi" w:hAnsiTheme="minorHAnsi" w:cstheme="minorHAnsi"/>
          <w:sz w:val="22"/>
          <w:szCs w:val="22"/>
        </w:rPr>
        <w:t>o</w:t>
      </w:r>
      <w:r w:rsidR="002676EA">
        <w:rPr>
          <w:rFonts w:asciiTheme="minorHAnsi" w:hAnsiTheme="minorHAnsi" w:cstheme="minorHAnsi"/>
          <w:sz w:val="22"/>
          <w:szCs w:val="22"/>
        </w:rPr>
        <w:t> 2 352 977,06</w:t>
      </w:r>
      <w:r w:rsidRPr="00595009">
        <w:rPr>
          <w:rFonts w:asciiTheme="minorHAnsi" w:hAnsiTheme="minorHAnsi" w:cstheme="minorHAnsi"/>
          <w:sz w:val="22"/>
          <w:szCs w:val="22"/>
        </w:rPr>
        <w:t xml:space="preserve"> Eur </w:t>
      </w:r>
      <w:r w:rsidR="002676EA">
        <w:rPr>
          <w:rFonts w:asciiTheme="minorHAnsi" w:hAnsiTheme="minorHAnsi" w:cstheme="minorHAnsi"/>
          <w:sz w:val="22"/>
          <w:szCs w:val="22"/>
        </w:rPr>
        <w:t>vyššia</w:t>
      </w:r>
      <w:r w:rsidRPr="00595009">
        <w:rPr>
          <w:rFonts w:asciiTheme="minorHAnsi" w:hAnsiTheme="minorHAnsi" w:cstheme="minorHAnsi"/>
          <w:sz w:val="22"/>
          <w:szCs w:val="22"/>
        </w:rPr>
        <w:t xml:space="preserve"> v porovnaní s predchádzajúcim obdobím. </w:t>
      </w:r>
    </w:p>
    <w:p w14:paraId="22FBA7C5" w14:textId="297183DE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Hlavný podiel na majetku Trnavskej univerzity má dlhodobý majetok, ktorého podiel predstavuje </w:t>
      </w:r>
      <w:r w:rsidR="002676EA">
        <w:rPr>
          <w:rFonts w:asciiTheme="minorHAnsi" w:hAnsiTheme="minorHAnsi" w:cstheme="minorHAnsi"/>
          <w:sz w:val="22"/>
          <w:szCs w:val="22"/>
        </w:rPr>
        <w:t>55,31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Podiel obežných aktív je </w:t>
      </w:r>
      <w:r w:rsidR="002676EA">
        <w:rPr>
          <w:rFonts w:asciiTheme="minorHAnsi" w:hAnsiTheme="minorHAnsi" w:cstheme="minorHAnsi"/>
          <w:sz w:val="22"/>
          <w:szCs w:val="22"/>
        </w:rPr>
        <w:t>44</w:t>
      </w:r>
      <w:r w:rsidR="006367D5">
        <w:rPr>
          <w:rFonts w:asciiTheme="minorHAnsi" w:hAnsiTheme="minorHAnsi" w:cstheme="minorHAnsi"/>
          <w:sz w:val="22"/>
          <w:szCs w:val="22"/>
        </w:rPr>
        <w:t>,3</w:t>
      </w:r>
      <w:r w:rsidR="002676EA">
        <w:rPr>
          <w:rFonts w:asciiTheme="minorHAnsi" w:hAnsiTheme="minorHAnsi" w:cstheme="minorHAnsi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 obežných aktív majú najväčší podiel až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5F573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42374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 finančné prostriedky na bankových účtoch.</w:t>
      </w:r>
    </w:p>
    <w:p w14:paraId="2B6002C4" w14:textId="78695586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 celkového objemu zdrojov  </w:t>
      </w:r>
      <w:r w:rsidR="002676E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509D">
        <w:rPr>
          <w:rFonts w:asciiTheme="minorHAnsi" w:hAnsiTheme="minorHAnsi" w:cstheme="minorHAnsi"/>
          <w:b/>
          <w:sz w:val="22"/>
          <w:szCs w:val="22"/>
        </w:rPr>
        <w:t>pasíva</w:t>
      </w:r>
      <w:r w:rsidR="002676EA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predstavujú vlastné  zdroje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86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 a cudzie zdroje </w:t>
      </w:r>
      <w:r w:rsidR="002676EA">
        <w:rPr>
          <w:rFonts w:asciiTheme="minorHAnsi" w:hAnsiTheme="minorHAnsi" w:cstheme="minorHAnsi"/>
          <w:sz w:val="22"/>
          <w:szCs w:val="22"/>
        </w:rPr>
        <w:t>7</w:t>
      </w:r>
      <w:r w:rsidR="005F5731">
        <w:rPr>
          <w:rFonts w:asciiTheme="minorHAnsi" w:hAnsiTheme="minorHAnsi" w:cstheme="minorHAnsi"/>
          <w:sz w:val="22"/>
          <w:szCs w:val="22"/>
        </w:rPr>
        <w:t>,</w:t>
      </w:r>
      <w:r w:rsidR="002676EA">
        <w:rPr>
          <w:rFonts w:asciiTheme="minorHAnsi" w:hAnsiTheme="minorHAnsi" w:cstheme="minorHAnsi"/>
          <w:sz w:val="22"/>
          <w:szCs w:val="22"/>
        </w:rPr>
        <w:t>73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podiel. Významnú položku tvoria prechodné účty pasív, ktorých percentuálny podiel je </w:t>
      </w:r>
      <w:r>
        <w:rPr>
          <w:rFonts w:asciiTheme="minorHAnsi" w:hAnsiTheme="minorHAnsi" w:cstheme="minorHAnsi"/>
          <w:sz w:val="22"/>
          <w:szCs w:val="22"/>
        </w:rPr>
        <w:t>5</w:t>
      </w:r>
      <w:r w:rsidR="002676EA">
        <w:rPr>
          <w:rFonts w:asciiTheme="minorHAnsi" w:hAnsiTheme="minorHAnsi" w:cstheme="minorHAnsi"/>
          <w:sz w:val="22"/>
          <w:szCs w:val="22"/>
        </w:rPr>
        <w:t>6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  <w:r w:rsidR="002676EA">
        <w:rPr>
          <w:rFonts w:asciiTheme="minorHAnsi" w:hAnsiTheme="minorHAnsi" w:cstheme="minorHAnsi"/>
          <w:sz w:val="22"/>
          <w:szCs w:val="22"/>
        </w:rPr>
        <w:t>41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% z celkových zdrojov, pričom najväčšiu položku prechodných účtov pasív tvorí časové rozlíšenie </w:t>
      </w:r>
      <w:r w:rsidRPr="00CD2326">
        <w:rPr>
          <w:rFonts w:asciiTheme="minorHAnsi" w:hAnsiTheme="minorHAnsi" w:cstheme="minorHAnsi"/>
          <w:sz w:val="22"/>
          <w:szCs w:val="22"/>
        </w:rPr>
        <w:t xml:space="preserve">kapitálovej dotácie, a to až </w:t>
      </w:r>
      <w:r w:rsidR="00880D77" w:rsidRPr="00443C7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8</w:t>
      </w:r>
      <w:r w:rsidR="002676EA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8</w:t>
      </w:r>
      <w:r w:rsidR="00443C75" w:rsidRPr="00443C7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2676EA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60</w:t>
      </w:r>
      <w:r w:rsidRPr="00CD2326">
        <w:rPr>
          <w:rFonts w:asciiTheme="minorHAnsi" w:hAnsiTheme="minorHAnsi" w:cstheme="minorHAnsi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školné, nevyčerpané účelové dotácie a pod.</w:t>
      </w:r>
    </w:p>
    <w:p w14:paraId="1D56D6A6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754FAF" w14:textId="1646EBF5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041 – Obstaranie dlhodobého nehmotného majetku k 31.12.202</w:t>
      </w:r>
      <w:r w:rsidR="002676EA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je vo výške </w:t>
      </w:r>
      <w:r>
        <w:rPr>
          <w:rFonts w:asciiTheme="minorHAnsi" w:hAnsiTheme="minorHAnsi" w:cstheme="minorHAnsi"/>
          <w:sz w:val="22"/>
          <w:szCs w:val="22"/>
        </w:rPr>
        <w:t>0,- Eur.</w:t>
      </w:r>
    </w:p>
    <w:p w14:paraId="5A7EBAF3" w14:textId="0932B0F4" w:rsidR="00F654B1" w:rsidRPr="00E313B7" w:rsidRDefault="00F654B1" w:rsidP="002676EA">
      <w:pPr>
        <w:pStyle w:val="Textkomentra"/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042 – Obstaranie dlhodobého</w:t>
      </w:r>
      <w:r>
        <w:rPr>
          <w:rFonts w:asciiTheme="minorHAnsi" w:hAnsiTheme="minorHAnsi" w:cstheme="minorHAnsi"/>
          <w:sz w:val="22"/>
          <w:szCs w:val="22"/>
        </w:rPr>
        <w:t xml:space="preserve"> hmotného</w:t>
      </w:r>
      <w:r w:rsidRPr="00A42529">
        <w:rPr>
          <w:rFonts w:asciiTheme="minorHAnsi" w:hAnsiTheme="minorHAnsi" w:cstheme="minorHAnsi"/>
          <w:sz w:val="22"/>
          <w:szCs w:val="22"/>
        </w:rPr>
        <w:t xml:space="preserve"> majetku k 31.12.202</w:t>
      </w:r>
      <w:r w:rsidR="002676EA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A42529">
        <w:rPr>
          <w:rFonts w:asciiTheme="minorHAnsi" w:hAnsiTheme="minorHAnsi" w:cstheme="minorHAnsi"/>
          <w:sz w:val="22"/>
          <w:szCs w:val="22"/>
        </w:rPr>
        <w:t>vo výške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76EA">
        <w:rPr>
          <w:rFonts w:asciiTheme="minorHAnsi" w:hAnsiTheme="minorHAnsi" w:cstheme="minorHAnsi"/>
          <w:sz w:val="22"/>
          <w:szCs w:val="22"/>
        </w:rPr>
        <w:t>384 803,45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Eur, to znamená, že k 31.12.202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je zaradený majetok v tejto sume. </w:t>
      </w:r>
      <w:r w:rsidR="00FB0EFA">
        <w:rPr>
          <w:rFonts w:ascii="Calibri" w:hAnsi="Calibri" w:cs="Calibri"/>
          <w:color w:val="000000" w:themeColor="text1"/>
          <w:sz w:val="22"/>
          <w:szCs w:val="22"/>
        </w:rPr>
        <w:t xml:space="preserve">Ide </w:t>
      </w:r>
      <w:r w:rsidR="00FB0EFA">
        <w:rPr>
          <w:rFonts w:ascii="Calibri" w:hAnsi="Calibri" w:cs="Calibri"/>
          <w:sz w:val="22"/>
          <w:szCs w:val="22"/>
        </w:rPr>
        <w:t>hlavne o historické a reštaurátorské prieskumy a projektov</w:t>
      </w:r>
      <w:r w:rsidR="00EE4AB1">
        <w:rPr>
          <w:rFonts w:ascii="Calibri" w:hAnsi="Calibri" w:cs="Calibri"/>
          <w:sz w:val="22"/>
          <w:szCs w:val="22"/>
        </w:rPr>
        <w:t>ú</w:t>
      </w:r>
      <w:r w:rsidR="00FB0EFA">
        <w:rPr>
          <w:rFonts w:ascii="Calibri" w:hAnsi="Calibri" w:cs="Calibri"/>
          <w:sz w:val="22"/>
          <w:szCs w:val="22"/>
        </w:rPr>
        <w:t xml:space="preserve"> </w:t>
      </w:r>
      <w:r w:rsidR="0057637C">
        <w:rPr>
          <w:rFonts w:ascii="Calibri" w:hAnsi="Calibri" w:cs="Calibri"/>
          <w:sz w:val="22"/>
          <w:szCs w:val="22"/>
        </w:rPr>
        <w:t>d</w:t>
      </w:r>
      <w:r w:rsidR="00FB0EFA">
        <w:rPr>
          <w:rFonts w:ascii="Calibri" w:hAnsi="Calibri" w:cs="Calibri"/>
          <w:sz w:val="22"/>
          <w:szCs w:val="22"/>
        </w:rPr>
        <w:t>okumentáci</w:t>
      </w:r>
      <w:r w:rsidR="00EE4AB1">
        <w:rPr>
          <w:rFonts w:ascii="Calibri" w:hAnsi="Calibri" w:cs="Calibri"/>
          <w:sz w:val="22"/>
          <w:szCs w:val="22"/>
        </w:rPr>
        <w:t>u</w:t>
      </w:r>
      <w:r w:rsidR="00FB0EFA">
        <w:rPr>
          <w:rFonts w:ascii="Calibri" w:hAnsi="Calibri" w:cs="Calibri"/>
          <w:sz w:val="22"/>
          <w:szCs w:val="22"/>
        </w:rPr>
        <w:t>  v</w:t>
      </w:r>
      <w:r w:rsidR="008927CF">
        <w:rPr>
          <w:rFonts w:ascii="Calibri" w:hAnsi="Calibri" w:cs="Calibri"/>
          <w:sz w:val="22"/>
          <w:szCs w:val="22"/>
        </w:rPr>
        <w:t xml:space="preserve"> budove </w:t>
      </w:r>
      <w:proofErr w:type="spellStart"/>
      <w:r w:rsidR="00FB0EFA">
        <w:rPr>
          <w:rFonts w:ascii="Calibri" w:hAnsi="Calibri" w:cs="Calibri"/>
          <w:sz w:val="22"/>
          <w:szCs w:val="22"/>
        </w:rPr>
        <w:t>Adalbertínum</w:t>
      </w:r>
      <w:proofErr w:type="spellEnd"/>
      <w:r w:rsidR="00FB0EFA">
        <w:rPr>
          <w:rFonts w:ascii="Calibri" w:hAnsi="Calibri" w:cs="Calibri"/>
          <w:sz w:val="22"/>
          <w:szCs w:val="22"/>
        </w:rPr>
        <w:t>,  </w:t>
      </w:r>
      <w:r w:rsidR="002676EA">
        <w:rPr>
          <w:rFonts w:ascii="Calibri" w:hAnsi="Calibri" w:cs="Calibri"/>
          <w:sz w:val="22"/>
          <w:szCs w:val="22"/>
        </w:rPr>
        <w:t xml:space="preserve">stavebné práce a </w:t>
      </w:r>
      <w:r w:rsidR="00FB0EFA">
        <w:rPr>
          <w:rFonts w:ascii="Calibri" w:hAnsi="Calibri" w:cs="Calibri"/>
          <w:sz w:val="22"/>
          <w:szCs w:val="22"/>
        </w:rPr>
        <w:t xml:space="preserve">projektovú dokumentáciu </w:t>
      </w:r>
      <w:r w:rsidR="002676EA">
        <w:rPr>
          <w:rFonts w:ascii="Calibri" w:hAnsi="Calibri" w:cs="Calibri"/>
          <w:sz w:val="22"/>
          <w:szCs w:val="22"/>
        </w:rPr>
        <w:t>–</w:t>
      </w:r>
      <w:r w:rsidR="008927CF">
        <w:rPr>
          <w:rFonts w:ascii="Calibri" w:hAnsi="Calibri" w:cs="Calibri"/>
          <w:sz w:val="22"/>
          <w:szCs w:val="22"/>
        </w:rPr>
        <w:t xml:space="preserve"> aula</w:t>
      </w:r>
      <w:r w:rsidR="002676EA">
        <w:rPr>
          <w:rFonts w:ascii="Calibri" w:hAnsi="Calibri" w:cs="Calibri"/>
          <w:sz w:val="22"/>
          <w:szCs w:val="22"/>
        </w:rPr>
        <w:t xml:space="preserve"> právnickej fakulty.</w:t>
      </w:r>
      <w:r w:rsidR="00FB0EFA">
        <w:rPr>
          <w:rFonts w:ascii="Calibri" w:hAnsi="Calibri" w:cs="Calibri"/>
          <w:sz w:val="22"/>
          <w:szCs w:val="22"/>
        </w:rPr>
        <w:t xml:space="preserve">  </w:t>
      </w:r>
    </w:p>
    <w:p w14:paraId="4AD6D5F7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EDB4ED5" w14:textId="707EAEF8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obežného majetku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tvorí finančný majetok</w:t>
      </w:r>
      <w:r w:rsidR="008927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27CF">
        <w:rPr>
          <w:rFonts w:asciiTheme="minorHAnsi" w:hAnsiTheme="minorHAnsi" w:cstheme="minorHAnsi"/>
          <w:sz w:val="22"/>
          <w:szCs w:val="22"/>
        </w:rPr>
        <w:t>95,0</w:t>
      </w:r>
      <w:r w:rsidR="002676EA">
        <w:rPr>
          <w:rFonts w:asciiTheme="minorHAnsi" w:hAnsiTheme="minorHAnsi" w:cstheme="minorHAnsi"/>
          <w:sz w:val="22"/>
          <w:szCs w:val="22"/>
        </w:rPr>
        <w:t>4</w:t>
      </w:r>
      <w:r w:rsidR="008927CF">
        <w:rPr>
          <w:rFonts w:asciiTheme="minorHAnsi" w:hAnsiTheme="minorHAnsi" w:cstheme="minorHAnsi"/>
          <w:sz w:val="22"/>
          <w:szCs w:val="22"/>
        </w:rPr>
        <w:t xml:space="preserve"> </w:t>
      </w:r>
      <w:r w:rsidR="008927C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konrétne</w:t>
      </w:r>
      <w:proofErr w:type="spellEnd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finančné prostriedky na účtoch v Štátnej pokladnici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tvoria </w:t>
      </w:r>
      <w:r w:rsidR="008927CF">
        <w:rPr>
          <w:rFonts w:asciiTheme="minorHAnsi" w:hAnsiTheme="minorHAnsi" w:cstheme="minorHAnsi"/>
          <w:color w:val="000000" w:themeColor="text1"/>
          <w:sz w:val="22"/>
          <w:szCs w:val="22"/>
        </w:rPr>
        <w:t>100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z finančného majetku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Štruktúra a stav finančných prostriedkov na bankových účtoch TU v Trnave k 31.12.202</w:t>
      </w:r>
      <w:r w:rsidR="002676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sú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uvedené v </w:t>
      </w:r>
      <w:r w:rsidRPr="005108F1">
        <w:rPr>
          <w:rFonts w:asciiTheme="minorHAnsi" w:hAnsiTheme="minorHAnsi" w:cstheme="minorHAnsi"/>
          <w:sz w:val="22"/>
          <w:szCs w:val="22"/>
        </w:rPr>
        <w:t xml:space="preserve">tabuľke č. 16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výročnej správy.</w:t>
      </w:r>
    </w:p>
    <w:p w14:paraId="2E6BFCA6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FC839C7" w14:textId="0C34CF41" w:rsidR="00F654B1" w:rsidRPr="00A42529" w:rsidRDefault="00F654B1" w:rsidP="00F654B1">
      <w:pPr>
        <w:spacing w:line="276" w:lineRule="auto"/>
        <w:ind w:left="-6" w:right="5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Časť </w:t>
      </w:r>
      <w:r w:rsidRPr="00174A7C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obežného majetku (</w:t>
      </w:r>
      <w:r w:rsidR="002676EA" w:rsidRPr="00174A7C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Pr="00174A7C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2676EA" w:rsidRPr="00174A7C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73</w:t>
      </w:r>
      <w:r w:rsidRPr="00174A7C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%)</w:t>
      </w:r>
      <w:r w:rsidRPr="00DB0FEB">
        <w:rPr>
          <w:rFonts w:asciiTheme="minorHAnsi" w:hAnsiTheme="minorHAnsi" w:cstheme="minorHAnsi"/>
          <w:sz w:val="22"/>
          <w:szCs w:val="22"/>
        </w:rPr>
        <w:t xml:space="preserve"> t</w:t>
      </w:r>
      <w:r w:rsidRPr="00A42529">
        <w:rPr>
          <w:rFonts w:asciiTheme="minorHAnsi" w:hAnsiTheme="minorHAnsi" w:cstheme="minorHAnsi"/>
          <w:sz w:val="22"/>
          <w:szCs w:val="22"/>
        </w:rPr>
        <w:t>voria krátkodobé pohľadávky</w:t>
      </w:r>
      <w:r w:rsidR="009A2B91">
        <w:rPr>
          <w:rFonts w:asciiTheme="minorHAnsi" w:hAnsiTheme="minorHAnsi" w:cstheme="minorHAnsi"/>
          <w:sz w:val="22"/>
          <w:szCs w:val="22"/>
        </w:rPr>
        <w:t>,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to najmä</w:t>
      </w:r>
      <w:r>
        <w:rPr>
          <w:rFonts w:asciiTheme="minorHAnsi" w:hAnsiTheme="minorHAnsi" w:cstheme="minorHAnsi"/>
          <w:sz w:val="22"/>
          <w:szCs w:val="22"/>
        </w:rPr>
        <w:t xml:space="preserve"> iné pohľad</w:t>
      </w:r>
      <w:r w:rsidR="00E17BE8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vky zo zahraničných projektov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>, pohľadávky z obchodného styku,</w:t>
      </w:r>
      <w:r w:rsidRPr="00A42529">
        <w:rPr>
          <w:rFonts w:asciiTheme="minorHAnsi" w:hAnsiTheme="minorHAnsi" w:cstheme="minorHAnsi"/>
          <w:sz w:val="22"/>
          <w:szCs w:val="22"/>
        </w:rPr>
        <w:t xml:space="preserve"> ostatné pohľadávky z predpísaného školného</w:t>
      </w:r>
      <w:r w:rsidR="009A2B91">
        <w:rPr>
          <w:rFonts w:asciiTheme="minorHAnsi" w:hAnsiTheme="minorHAnsi" w:cstheme="minorHAnsi"/>
          <w:sz w:val="22"/>
          <w:szCs w:val="22"/>
        </w:rPr>
        <w:t>.</w:t>
      </w:r>
      <w:r w:rsidRPr="00A42529">
        <w:rPr>
          <w:rFonts w:asciiTheme="minorHAnsi" w:hAnsiTheme="minorHAnsi" w:cstheme="minorHAnsi"/>
          <w:sz w:val="22"/>
          <w:szCs w:val="22"/>
        </w:rPr>
        <w:t xml:space="preserve"> Z krátkodobých pohľadávok tvoria pohľadávky z obchodného styku (odberateľské faktúry) </w:t>
      </w:r>
      <w:r w:rsidR="00174A7C">
        <w:rPr>
          <w:rFonts w:asciiTheme="minorHAnsi" w:hAnsiTheme="minorHAnsi" w:cstheme="minorHAnsi"/>
          <w:sz w:val="22"/>
          <w:szCs w:val="22"/>
        </w:rPr>
        <w:t>9,18</w:t>
      </w:r>
      <w:r>
        <w:rPr>
          <w:rFonts w:asciiTheme="minorHAnsi" w:hAnsiTheme="minorHAnsi" w:cstheme="minorHAnsi"/>
          <w:sz w:val="22"/>
          <w:szCs w:val="22"/>
        </w:rPr>
        <w:t xml:space="preserve"> %,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ostatné pohľadávky z predpísaného školného   </w:t>
      </w:r>
      <w:r w:rsidR="00174A7C">
        <w:rPr>
          <w:rFonts w:asciiTheme="minorHAnsi" w:hAnsiTheme="minorHAnsi" w:cstheme="minorHAnsi"/>
          <w:sz w:val="22"/>
          <w:szCs w:val="22"/>
        </w:rPr>
        <w:t>6,08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D2581">
        <w:rPr>
          <w:rFonts w:asciiTheme="minorHAnsi" w:hAnsiTheme="minorHAnsi" w:cstheme="minorHAnsi"/>
          <w:sz w:val="22"/>
          <w:szCs w:val="22"/>
        </w:rPr>
        <w:t>%</w:t>
      </w:r>
      <w:r w:rsidRPr="007735CB">
        <w:rPr>
          <w:rFonts w:asciiTheme="minorHAnsi" w:hAnsiTheme="minorHAnsi" w:cstheme="minorHAnsi"/>
          <w:sz w:val="22"/>
          <w:szCs w:val="22"/>
        </w:rPr>
        <w:t xml:space="preserve">,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pohľadávky z projektov riešených cez programy </w:t>
      </w:r>
      <w:r>
        <w:rPr>
          <w:rFonts w:asciiTheme="minorHAnsi" w:hAnsiTheme="minorHAnsi" w:cstheme="minorHAnsi"/>
          <w:sz w:val="22"/>
          <w:szCs w:val="22"/>
        </w:rPr>
        <w:t>za</w:t>
      </w:r>
      <w:r w:rsidRPr="00A42529">
        <w:rPr>
          <w:rFonts w:asciiTheme="minorHAnsi" w:hAnsiTheme="minorHAnsi" w:cstheme="minorHAnsi"/>
          <w:sz w:val="22"/>
          <w:szCs w:val="22"/>
        </w:rPr>
        <w:t xml:space="preserve">hraničnej spolupráce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4A7C">
        <w:rPr>
          <w:rFonts w:asciiTheme="minorHAnsi" w:hAnsiTheme="minorHAnsi" w:cstheme="minorHAnsi"/>
          <w:sz w:val="22"/>
          <w:szCs w:val="22"/>
        </w:rPr>
        <w:t>44,77</w:t>
      </w:r>
      <w:r>
        <w:rPr>
          <w:rFonts w:asciiTheme="minorHAnsi" w:hAnsiTheme="minorHAnsi" w:cstheme="minorHAnsi"/>
          <w:sz w:val="22"/>
          <w:szCs w:val="22"/>
        </w:rPr>
        <w:t xml:space="preserve"> %</w:t>
      </w:r>
      <w:r w:rsidR="00B80627">
        <w:rPr>
          <w:rFonts w:asciiTheme="minorHAnsi" w:hAnsiTheme="minorHAnsi" w:cstheme="minorHAnsi"/>
          <w:sz w:val="22"/>
          <w:szCs w:val="22"/>
        </w:rPr>
        <w:t>, predpis dotácie z plánu obnovy a odolnosti 38,4 %</w:t>
      </w:r>
      <w:r>
        <w:rPr>
          <w:rFonts w:asciiTheme="minorHAnsi" w:hAnsiTheme="minorHAnsi" w:cstheme="minorHAnsi"/>
          <w:sz w:val="22"/>
          <w:szCs w:val="22"/>
        </w:rPr>
        <w:t>.</w:t>
      </w:r>
      <w:r w:rsidR="00B80627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Zvyšnú časť obežného </w:t>
      </w:r>
      <w:r w:rsidRPr="00AD2581">
        <w:rPr>
          <w:rFonts w:asciiTheme="minorHAnsi" w:hAnsiTheme="minorHAnsi" w:cstheme="minorHAnsi"/>
          <w:sz w:val="22"/>
          <w:szCs w:val="22"/>
        </w:rPr>
        <w:t>majetku (</w:t>
      </w:r>
      <w:r w:rsidR="00174A7C">
        <w:rPr>
          <w:rFonts w:asciiTheme="minorHAnsi" w:hAnsiTheme="minorHAnsi" w:cstheme="minorHAnsi"/>
          <w:sz w:val="22"/>
          <w:szCs w:val="22"/>
        </w:rPr>
        <w:t>2</w:t>
      </w:r>
      <w:r w:rsidR="009A2B91">
        <w:rPr>
          <w:rFonts w:asciiTheme="minorHAnsi" w:hAnsiTheme="minorHAnsi" w:cstheme="minorHAnsi"/>
          <w:sz w:val="22"/>
          <w:szCs w:val="22"/>
        </w:rPr>
        <w:t>,2</w:t>
      </w:r>
      <w:r w:rsidR="00174A7C">
        <w:rPr>
          <w:rFonts w:asciiTheme="minorHAnsi" w:hAnsiTheme="minorHAnsi" w:cstheme="minorHAnsi"/>
          <w:sz w:val="22"/>
          <w:szCs w:val="22"/>
        </w:rPr>
        <w:t>4</w:t>
      </w:r>
      <w:r w:rsidRPr="00AD2581">
        <w:rPr>
          <w:rFonts w:asciiTheme="minorHAnsi" w:hAnsiTheme="minorHAnsi" w:cstheme="minorHAnsi"/>
          <w:sz w:val="22"/>
          <w:szCs w:val="22"/>
        </w:rPr>
        <w:t xml:space="preserve"> %) </w:t>
      </w:r>
      <w:r w:rsidRPr="00A42529">
        <w:rPr>
          <w:rFonts w:asciiTheme="minorHAnsi" w:hAnsiTheme="minorHAnsi" w:cstheme="minorHAnsi"/>
          <w:sz w:val="22"/>
          <w:szCs w:val="22"/>
        </w:rPr>
        <w:t>tvoria zásoby materiálu a tovaru.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Časové rozlíšenie predstavuje sumu </w:t>
      </w:r>
      <w:r w:rsidR="009A2B91">
        <w:rPr>
          <w:rFonts w:asciiTheme="minorHAnsi" w:hAnsiTheme="minorHAnsi" w:cstheme="minorHAnsi"/>
          <w:sz w:val="22"/>
          <w:szCs w:val="22"/>
        </w:rPr>
        <w:t>1</w:t>
      </w:r>
      <w:r w:rsidR="00174A7C">
        <w:rPr>
          <w:rFonts w:asciiTheme="minorHAnsi" w:hAnsiTheme="minorHAnsi" w:cstheme="minorHAnsi"/>
          <w:sz w:val="22"/>
          <w:szCs w:val="22"/>
        </w:rPr>
        <w:t>01 181,13</w:t>
      </w:r>
      <w:r w:rsidRPr="008166BE">
        <w:rPr>
          <w:rFonts w:asciiTheme="minorHAnsi" w:hAnsiTheme="minorHAnsi" w:cstheme="minorHAnsi"/>
          <w:sz w:val="22"/>
          <w:szCs w:val="22"/>
        </w:rPr>
        <w:t xml:space="preserve">  Eur. </w:t>
      </w:r>
      <w:r w:rsidRPr="00A42529">
        <w:rPr>
          <w:rFonts w:asciiTheme="minorHAnsi" w:hAnsiTheme="minorHAnsi" w:cstheme="minorHAnsi"/>
          <w:sz w:val="22"/>
          <w:szCs w:val="22"/>
        </w:rPr>
        <w:t xml:space="preserve">Ide o náklady budúcich období vo výške </w:t>
      </w:r>
      <w:r w:rsidR="00174A7C">
        <w:rPr>
          <w:rFonts w:asciiTheme="minorHAnsi" w:hAnsiTheme="minorHAnsi" w:cstheme="minorHAnsi"/>
          <w:sz w:val="22"/>
          <w:szCs w:val="22"/>
        </w:rPr>
        <w:t>101 091,13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74C5">
        <w:rPr>
          <w:rFonts w:asciiTheme="minorHAnsi" w:hAnsiTheme="minorHAnsi" w:cstheme="minorHAnsi"/>
          <w:sz w:val="22"/>
          <w:szCs w:val="22"/>
        </w:rPr>
        <w:t>Eur (predplatné novín a časopisov na rok 202</w:t>
      </w:r>
      <w:r w:rsidR="00174A7C">
        <w:rPr>
          <w:rFonts w:asciiTheme="minorHAnsi" w:hAnsiTheme="minorHAnsi" w:cstheme="minorHAnsi"/>
          <w:sz w:val="22"/>
          <w:szCs w:val="22"/>
        </w:rPr>
        <w:t>5</w:t>
      </w:r>
      <w:r w:rsidRPr="004D74C5">
        <w:rPr>
          <w:rFonts w:asciiTheme="minorHAnsi" w:hAnsiTheme="minorHAnsi" w:cstheme="minorHAnsi"/>
          <w:sz w:val="22"/>
          <w:szCs w:val="22"/>
        </w:rPr>
        <w:t>, poistenie za motorové vozidlá a majetku na rok 202</w:t>
      </w:r>
      <w:r w:rsidR="00174A7C">
        <w:rPr>
          <w:rFonts w:asciiTheme="minorHAnsi" w:hAnsiTheme="minorHAnsi" w:cstheme="minorHAnsi"/>
          <w:sz w:val="22"/>
          <w:szCs w:val="22"/>
        </w:rPr>
        <w:t>5</w:t>
      </w:r>
      <w:r w:rsidRPr="004D74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údržba a podpora systémov na rok 202</w:t>
      </w:r>
      <w:r w:rsidR="00174A7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D74C5">
        <w:rPr>
          <w:rFonts w:asciiTheme="minorHAnsi" w:hAnsiTheme="minorHAnsi" w:cstheme="minorHAnsi"/>
          <w:sz w:val="22"/>
          <w:szCs w:val="22"/>
        </w:rPr>
        <w:t>zaplatené licencie a členské poplatky na rok 202</w:t>
      </w:r>
      <w:r w:rsidR="00174A7C">
        <w:rPr>
          <w:rFonts w:asciiTheme="minorHAnsi" w:hAnsiTheme="minorHAnsi" w:cstheme="minorHAnsi"/>
          <w:sz w:val="22"/>
          <w:szCs w:val="22"/>
        </w:rPr>
        <w:t>5</w:t>
      </w:r>
      <w:r w:rsidRPr="004D74C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F5D8074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15B10B" w14:textId="57D2FF85" w:rsidR="00F654B1" w:rsidRPr="00A42529" w:rsidRDefault="00F654B1" w:rsidP="00F654B1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Stranu </w:t>
      </w:r>
      <w:r w:rsidRPr="00A42529">
        <w:rPr>
          <w:rFonts w:asciiTheme="minorHAnsi" w:hAnsiTheme="minorHAnsi" w:cstheme="minorHAnsi"/>
          <w:b/>
          <w:sz w:val="22"/>
          <w:szCs w:val="22"/>
        </w:rPr>
        <w:t>pasív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Súvahe tvoria zdroje krytia aktív v členení na vlastné zdroje, cudzie zdroje a časové rozlíšenie (výdavky a výnosy budúcich období). Z celkového objemu zdrojov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predstavujú vlastné zdroje </w:t>
      </w:r>
      <w:r w:rsidR="00A20AD9">
        <w:rPr>
          <w:rFonts w:asciiTheme="minorHAnsi" w:hAnsiTheme="minorHAnsi" w:cstheme="minorHAnsi"/>
          <w:b/>
          <w:sz w:val="22"/>
          <w:szCs w:val="22"/>
        </w:rPr>
        <w:t>3</w:t>
      </w:r>
      <w:r w:rsidR="00174A7C">
        <w:rPr>
          <w:rFonts w:asciiTheme="minorHAnsi" w:hAnsiTheme="minorHAnsi" w:cstheme="minorHAnsi"/>
          <w:b/>
          <w:sz w:val="22"/>
          <w:szCs w:val="22"/>
        </w:rPr>
        <w:t>5,86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A240E">
        <w:rPr>
          <w:rFonts w:asciiTheme="minorHAnsi" w:hAnsiTheme="minorHAnsi" w:cstheme="minorHAnsi"/>
          <w:b/>
          <w:sz w:val="22"/>
          <w:szCs w:val="22"/>
        </w:rPr>
        <w:t>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174A7C">
        <w:rPr>
          <w:rFonts w:asciiTheme="minorHAnsi" w:hAnsiTheme="minorHAnsi" w:cstheme="minorHAnsi"/>
          <w:sz w:val="22"/>
          <w:szCs w:val="22"/>
        </w:rPr>
        <w:t>3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517365">
        <w:rPr>
          <w:rFonts w:asciiTheme="minorHAnsi" w:hAnsiTheme="minorHAnsi" w:cstheme="minorHAnsi"/>
          <w:sz w:val="22"/>
          <w:szCs w:val="22"/>
        </w:rPr>
        <w:t>4,</w:t>
      </w:r>
      <w:r w:rsidR="00174A7C">
        <w:rPr>
          <w:rFonts w:asciiTheme="minorHAnsi" w:hAnsiTheme="minorHAnsi" w:cstheme="minorHAnsi"/>
          <w:sz w:val="22"/>
          <w:szCs w:val="22"/>
        </w:rPr>
        <w:t>13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%),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cudzie zdroje </w:t>
      </w:r>
      <w:r w:rsidR="00174A7C">
        <w:rPr>
          <w:rFonts w:asciiTheme="minorHAnsi" w:hAnsiTheme="minorHAnsi" w:cstheme="minorHAnsi"/>
          <w:b/>
          <w:sz w:val="22"/>
          <w:szCs w:val="22"/>
        </w:rPr>
        <w:t>7,73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174A7C">
        <w:rPr>
          <w:rFonts w:asciiTheme="minorHAnsi" w:hAnsiTheme="minorHAnsi" w:cstheme="minorHAnsi"/>
          <w:sz w:val="22"/>
          <w:szCs w:val="22"/>
        </w:rPr>
        <w:t>3</w:t>
      </w:r>
      <w:r w:rsidR="00A20AD9">
        <w:rPr>
          <w:rFonts w:asciiTheme="minorHAnsi" w:hAnsiTheme="minorHAnsi" w:cstheme="minorHAnsi"/>
          <w:sz w:val="22"/>
          <w:szCs w:val="22"/>
        </w:rPr>
        <w:t xml:space="preserve"> </w:t>
      </w:r>
      <w:r w:rsidR="00174A7C">
        <w:rPr>
          <w:rFonts w:asciiTheme="minorHAnsi" w:hAnsiTheme="minorHAnsi" w:cstheme="minorHAnsi"/>
          <w:sz w:val="22"/>
          <w:szCs w:val="22"/>
        </w:rPr>
        <w:t>6,84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 a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časové rozlíšenie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174A7C">
        <w:rPr>
          <w:rFonts w:asciiTheme="minorHAnsi" w:hAnsiTheme="minorHAnsi" w:cstheme="minorHAnsi"/>
          <w:b/>
          <w:sz w:val="22"/>
          <w:szCs w:val="22"/>
        </w:rPr>
        <w:t>6,41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174A7C">
        <w:rPr>
          <w:rFonts w:asciiTheme="minorHAnsi" w:hAnsiTheme="minorHAnsi" w:cstheme="minorHAnsi"/>
          <w:sz w:val="22"/>
          <w:szCs w:val="22"/>
        </w:rPr>
        <w:t>3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5</w:t>
      </w:r>
      <w:r w:rsidR="006D2D5B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</w:t>
      </w:r>
      <w:r w:rsidR="00174A7C">
        <w:rPr>
          <w:rFonts w:asciiTheme="minorHAnsi" w:hAnsiTheme="minorHAnsi" w:cstheme="minorHAnsi"/>
          <w:sz w:val="22"/>
          <w:szCs w:val="22"/>
        </w:rPr>
        <w:t>03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%).  </w:t>
      </w:r>
    </w:p>
    <w:p w14:paraId="3835B0BD" w14:textId="77777777" w:rsidR="00F654B1" w:rsidRPr="00A42529" w:rsidRDefault="00F654B1" w:rsidP="00F654B1">
      <w:pPr>
        <w:spacing w:after="139"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7ECA0FE9" w14:textId="44813222" w:rsidR="00F654B1" w:rsidRPr="00F83EA8" w:rsidRDefault="00F654B1" w:rsidP="00F654B1">
      <w:pPr>
        <w:spacing w:after="139"/>
        <w:ind w:left="-5" w:right="50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K 31. 12. 202</w:t>
      </w:r>
      <w:r w:rsidR="00174A7C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379 - Ostatné záväzky </w:t>
      </w:r>
      <w:r w:rsidRPr="00A42529">
        <w:rPr>
          <w:rFonts w:asciiTheme="minorHAnsi" w:hAnsiTheme="minorHAnsi" w:cstheme="minorHAnsi"/>
          <w:sz w:val="22"/>
          <w:szCs w:val="22"/>
        </w:rPr>
        <w:t xml:space="preserve">bol vo výške </w:t>
      </w:r>
      <w:r w:rsidR="00174A7C">
        <w:rPr>
          <w:rFonts w:asciiTheme="minorHAnsi" w:hAnsiTheme="minorHAnsi" w:cstheme="minorHAnsi"/>
          <w:sz w:val="22"/>
          <w:szCs w:val="22"/>
        </w:rPr>
        <w:t>191 836,12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Eur v nasledujúcom analytickom členení:  </w:t>
      </w:r>
    </w:p>
    <w:p w14:paraId="28D14D5D" w14:textId="77777777" w:rsidR="00F654B1" w:rsidRPr="00A42529" w:rsidRDefault="00F654B1" w:rsidP="00F654B1">
      <w:pPr>
        <w:tabs>
          <w:tab w:val="center" w:pos="7035"/>
        </w:tabs>
        <w:spacing w:after="11" w:line="276" w:lineRule="auto"/>
        <w:ind w:left="-1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7717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291"/>
        <w:gridCol w:w="1426"/>
      </w:tblGrid>
      <w:tr w:rsidR="00F654B1" w:rsidRPr="00700A1B" w14:paraId="5222161F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91BC09" w14:textId="169CB5EC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700A1B">
              <w:rPr>
                <w:rFonts w:eastAsia="Times New Roman" w:cstheme="minorHAnsi"/>
              </w:rPr>
              <w:t>) zrážky z miezd za 12/202</w:t>
            </w:r>
            <w:r w:rsidR="00174A7C">
              <w:rPr>
                <w:rFonts w:eastAsia="Times New Roman" w:cstheme="minorHAnsi"/>
              </w:rPr>
              <w:t>4</w:t>
            </w:r>
            <w:r w:rsidRPr="00700A1B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1E7512D" w14:textId="23B74121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700A1B">
              <w:rPr>
                <w:rFonts w:eastAsia="Times New Roman" w:cstheme="minorHAnsi"/>
              </w:rPr>
              <w:t xml:space="preserve">   </w:t>
            </w:r>
            <w:r w:rsidR="006D2D5B">
              <w:rPr>
                <w:rFonts w:eastAsia="Times New Roman" w:cstheme="minorHAnsi"/>
              </w:rPr>
              <w:t>5 </w:t>
            </w:r>
            <w:r w:rsidR="00174A7C">
              <w:rPr>
                <w:rFonts w:eastAsia="Times New Roman" w:cstheme="minorHAnsi"/>
              </w:rPr>
              <w:t>974</w:t>
            </w:r>
            <w:r w:rsidR="006D2D5B">
              <w:rPr>
                <w:rFonts w:eastAsia="Times New Roman" w:cstheme="minorHAnsi"/>
              </w:rPr>
              <w:t>,</w:t>
            </w:r>
            <w:r w:rsidR="00174A7C">
              <w:rPr>
                <w:rFonts w:eastAsia="Times New Roman" w:cstheme="minorHAnsi"/>
              </w:rPr>
              <w:t>02</w:t>
            </w:r>
            <w:r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0B3139" w14:paraId="3975C06B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B78280" w14:textId="15E6CDC5" w:rsidR="00F654B1" w:rsidRPr="000B3139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</w:t>
            </w:r>
            <w:r w:rsidRPr="000B3139">
              <w:rPr>
                <w:rFonts w:eastAsia="Times New Roman" w:cstheme="minorHAnsi"/>
              </w:rPr>
              <w:t xml:space="preserve">) záväzky voči doktorandom </w:t>
            </w:r>
            <w:r w:rsidR="00174A7C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B1616CF" w14:textId="5270B770" w:rsidR="00F654B1" w:rsidRPr="000B3139" w:rsidRDefault="00174A7C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6D2D5B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 xml:space="preserve">4 669,50 </w:t>
            </w:r>
            <w:r w:rsidR="00F654B1" w:rsidRPr="000B3139">
              <w:rPr>
                <w:rFonts w:eastAsia="Times New Roman" w:cstheme="minorHAnsi"/>
              </w:rPr>
              <w:t xml:space="preserve">Eur </w:t>
            </w:r>
          </w:p>
        </w:tc>
      </w:tr>
      <w:tr w:rsidR="00F654B1" w:rsidRPr="00700A1B" w14:paraId="64BFBDC5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75639735" w14:textId="33D60B60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700A1B">
              <w:rPr>
                <w:rFonts w:eastAsia="Times New Roman" w:cstheme="minorHAnsi"/>
              </w:rPr>
              <w:t>)</w:t>
            </w:r>
            <w:r>
              <w:rPr>
                <w:rFonts w:eastAsia="Times New Roman" w:cstheme="minorHAnsi"/>
              </w:rPr>
              <w:t xml:space="preserve"> </w:t>
            </w:r>
            <w:r w:rsidR="00316DEE">
              <w:rPr>
                <w:rFonts w:eastAsia="Times New Roman" w:cstheme="minorHAnsi"/>
              </w:rPr>
              <w:t xml:space="preserve">predpis </w:t>
            </w:r>
            <w:r w:rsidR="00A20AD9">
              <w:rPr>
                <w:rFonts w:eastAsia="Times New Roman" w:cstheme="minorHAnsi"/>
              </w:rPr>
              <w:t>nevyplat</w:t>
            </w:r>
            <w:r w:rsidR="00316DEE">
              <w:rPr>
                <w:rFonts w:eastAsia="Times New Roman" w:cstheme="minorHAnsi"/>
              </w:rPr>
              <w:t xml:space="preserve">ených </w:t>
            </w:r>
            <w:r w:rsidR="00A20AD9">
              <w:rPr>
                <w:rFonts w:eastAsia="Times New Roman" w:cstheme="minorHAnsi"/>
              </w:rPr>
              <w:t>talent. štipendi</w:t>
            </w:r>
            <w:r w:rsidR="00316DEE">
              <w:rPr>
                <w:rFonts w:eastAsia="Times New Roman" w:cstheme="minorHAnsi"/>
              </w:rPr>
              <w:t>í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8ACB59B" w14:textId="16FEEEAF" w:rsidR="00F654B1" w:rsidRPr="00700A1B" w:rsidRDefault="00174A7C" w:rsidP="00A20AD9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101 7</w:t>
            </w:r>
            <w:r w:rsidR="00A20AD9">
              <w:rPr>
                <w:rFonts w:eastAsia="Times New Roman" w:cstheme="minorHAnsi"/>
              </w:rPr>
              <w:t>00,00</w:t>
            </w:r>
            <w:r w:rsidR="00F654B1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1DC25615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2AE00CD4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Pr="00700A1B">
              <w:rPr>
                <w:rFonts w:eastAsia="Times New Roman" w:cstheme="minorHAnsi"/>
              </w:rPr>
              <w:t xml:space="preserve">) zábezpeka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58E7D2" w14:textId="3A294FAF" w:rsidR="00F654B1" w:rsidRPr="00700A1B" w:rsidRDefault="006D2D5B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174A7C">
              <w:rPr>
                <w:rFonts w:eastAsia="Times New Roman" w:cstheme="minorHAnsi"/>
              </w:rPr>
              <w:t>7</w:t>
            </w:r>
            <w:r w:rsidR="00A20AD9">
              <w:rPr>
                <w:rFonts w:eastAsia="Times New Roman" w:cstheme="minorHAnsi"/>
              </w:rPr>
              <w:t xml:space="preserve"> </w:t>
            </w:r>
            <w:r w:rsidR="00174A7C">
              <w:rPr>
                <w:rFonts w:eastAsia="Times New Roman" w:cstheme="minorHAnsi"/>
              </w:rPr>
              <w:t>2</w:t>
            </w:r>
            <w:r w:rsidR="00F654B1" w:rsidRPr="00700A1B">
              <w:rPr>
                <w:rFonts w:eastAsia="Times New Roman" w:cstheme="minorHAnsi"/>
              </w:rPr>
              <w:t>00</w:t>
            </w:r>
            <w:r w:rsidR="00F654B1">
              <w:rPr>
                <w:rFonts w:eastAsia="Times New Roman" w:cstheme="minorHAnsi"/>
              </w:rPr>
              <w:t>,00</w:t>
            </w:r>
            <w:r w:rsidR="00F654B1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2985D067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4CAEA660" w14:textId="3977CB53" w:rsidR="00F654B1" w:rsidRPr="00700A1B" w:rsidRDefault="00F654B1" w:rsidP="0027540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e) mobilita študentov a učiteľov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E58A383" w14:textId="5E8FFF98" w:rsidR="00F654B1" w:rsidRPr="00700A1B" w:rsidRDefault="00174A7C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22 292,60</w:t>
            </w:r>
            <w:r w:rsidR="00F654B1">
              <w:rPr>
                <w:rFonts w:cstheme="minorHAnsi"/>
              </w:rPr>
              <w:t xml:space="preserve"> Eur</w:t>
            </w:r>
          </w:p>
        </w:tc>
      </w:tr>
    </w:tbl>
    <w:p w14:paraId="0D98C3FB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8A32F61" w14:textId="7AEF9BB3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 súlade s „Metodickým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usmernením MŠ SR číslo 1/2007“ </w:t>
      </w:r>
      <w:r w:rsidR="006460B2" w:rsidRPr="006460B2">
        <w:rPr>
          <w:rFonts w:asciiTheme="minorHAnsi" w:hAnsiTheme="minorHAnsi" w:cstheme="minorHAnsi"/>
          <w:color w:val="000000" w:themeColor="text1"/>
          <w:sz w:val="22"/>
          <w:szCs w:val="22"/>
        </w:rPr>
        <w:t>k analytickému členeniu pri vedení účtovníctva verejnej vysokej školy na rok 202</w:t>
      </w:r>
      <w:r w:rsidR="00174A7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6460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C0029">
        <w:rPr>
          <w:rFonts w:asciiTheme="minorHAnsi" w:hAnsiTheme="minorHAnsi" w:cstheme="minorHAnsi"/>
          <w:color w:val="000000" w:themeColor="text1"/>
          <w:sz w:val="22"/>
          <w:szCs w:val="22"/>
        </w:rPr>
        <w:t>a zm</w:t>
      </w:r>
      <w:r w:rsidR="006460B2">
        <w:rPr>
          <w:rFonts w:asciiTheme="minorHAnsi" w:hAnsiTheme="minorHAnsi" w:cstheme="minorHAnsi"/>
          <w:color w:val="000000" w:themeColor="text1"/>
          <w:sz w:val="22"/>
          <w:szCs w:val="22"/>
        </w:rPr>
        <w:t>enami</w:t>
      </w:r>
      <w:r w:rsidR="00DC00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účtovnej </w:t>
      </w:r>
      <w:r w:rsidR="00A94297">
        <w:rPr>
          <w:rFonts w:asciiTheme="minorHAnsi" w:hAnsiTheme="minorHAnsi" w:cstheme="minorHAnsi"/>
          <w:color w:val="000000" w:themeColor="text1"/>
          <w:sz w:val="22"/>
          <w:szCs w:val="22"/>
        </w:rPr>
        <w:t>závierke</w:t>
      </w:r>
      <w:r w:rsidRPr="00A42529">
        <w:rPr>
          <w:rFonts w:asciiTheme="minorHAnsi" w:hAnsiTheme="minorHAnsi" w:cstheme="minorHAnsi"/>
          <w:sz w:val="22"/>
          <w:szCs w:val="22"/>
        </w:rPr>
        <w:t>, vykazovala T</w:t>
      </w:r>
      <w:r w:rsidR="00585B13">
        <w:rPr>
          <w:rFonts w:asciiTheme="minorHAnsi" w:hAnsiTheme="minorHAnsi" w:cstheme="minorHAnsi"/>
          <w:sz w:val="22"/>
          <w:szCs w:val="22"/>
        </w:rPr>
        <w:t>rnavská univerzita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Trnave  k 31. 12. 202</w:t>
      </w:r>
      <w:r w:rsidR="00174A7C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384 - Výnosy budúcich období </w:t>
      </w:r>
      <w:r w:rsidRPr="00A42529">
        <w:rPr>
          <w:rFonts w:asciiTheme="minorHAnsi" w:hAnsiTheme="minorHAnsi" w:cstheme="minorHAnsi"/>
          <w:sz w:val="22"/>
          <w:szCs w:val="22"/>
        </w:rPr>
        <w:t xml:space="preserve">stav </w:t>
      </w:r>
      <w:r>
        <w:rPr>
          <w:rFonts w:asciiTheme="minorHAnsi" w:hAnsiTheme="minorHAnsi" w:cstheme="minorHAnsi"/>
          <w:sz w:val="22"/>
          <w:szCs w:val="22"/>
        </w:rPr>
        <w:t>1</w:t>
      </w:r>
      <w:r w:rsidR="00174A7C">
        <w:rPr>
          <w:rFonts w:asciiTheme="minorHAnsi" w:hAnsiTheme="minorHAnsi" w:cstheme="minorHAnsi"/>
          <w:sz w:val="22"/>
          <w:szCs w:val="22"/>
        </w:rPr>
        <w:t>9 353 731,41</w:t>
      </w:r>
      <w:r w:rsidRPr="00A95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>Eur</w:t>
      </w:r>
      <w:r w:rsidRPr="00F83EA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v nasledovnom členení:  </w:t>
      </w:r>
    </w:p>
    <w:p w14:paraId="675D62BE" w14:textId="77777777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04A2104F" w14:textId="753808B7" w:rsidR="00F654B1" w:rsidRPr="00A42529" w:rsidRDefault="00F654B1" w:rsidP="00F654B1">
      <w:pPr>
        <w:numPr>
          <w:ilvl w:val="0"/>
          <w:numId w:val="11"/>
        </w:numPr>
        <w:spacing w:after="29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kapitálová dotácia </w:t>
      </w:r>
      <w:r w:rsidR="00F24A14">
        <w:rPr>
          <w:rFonts w:asciiTheme="minorHAnsi" w:hAnsiTheme="minorHAnsi" w:cstheme="minorHAnsi"/>
          <w:sz w:val="22"/>
          <w:szCs w:val="22"/>
        </w:rPr>
        <w:t>– dlh.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F24A14">
        <w:rPr>
          <w:rFonts w:asciiTheme="minorHAnsi" w:hAnsiTheme="minorHAnsi" w:cstheme="minorHAnsi"/>
          <w:sz w:val="22"/>
          <w:szCs w:val="22"/>
        </w:rPr>
        <w:t>5</w:t>
      </w:r>
      <w:r w:rsidR="00174A7C">
        <w:rPr>
          <w:rFonts w:asciiTheme="minorHAnsi" w:hAnsiTheme="minorHAnsi" w:cstheme="minorHAnsi"/>
          <w:sz w:val="22"/>
          <w:szCs w:val="22"/>
        </w:rPr>
        <w:t> 014 646,41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8584EC9" w14:textId="5FFE63D9" w:rsidR="00F654B1" w:rsidRPr="007A3A45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nedočerpaná</w:t>
      </w:r>
      <w:r>
        <w:rPr>
          <w:rFonts w:asciiTheme="minorHAnsi" w:hAnsiTheme="minorHAnsi" w:cstheme="minorHAnsi"/>
          <w:sz w:val="22"/>
          <w:szCs w:val="22"/>
        </w:rPr>
        <w:t xml:space="preserve"> bežná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dotácia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 w:rsidR="005A4A49">
        <w:rPr>
          <w:rFonts w:asciiTheme="minorHAnsi" w:hAnsiTheme="minorHAnsi" w:cstheme="minorHAnsi"/>
          <w:sz w:val="22"/>
          <w:szCs w:val="22"/>
        </w:rPr>
        <w:t xml:space="preserve">- krát.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174A7C">
        <w:rPr>
          <w:rFonts w:asciiTheme="minorHAnsi" w:hAnsiTheme="minorHAnsi" w:cstheme="minorHAnsi"/>
          <w:sz w:val="22"/>
          <w:szCs w:val="22"/>
        </w:rPr>
        <w:t>1 077 787,49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ED355AD" w14:textId="17466FDB" w:rsidR="00F654B1" w:rsidRPr="00A42529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bežná dotácia na </w:t>
      </w:r>
      <w:proofErr w:type="spellStart"/>
      <w:r>
        <w:rPr>
          <w:rFonts w:asciiTheme="minorHAnsi" w:hAnsiTheme="minorHAnsi" w:cstheme="minorHAnsi"/>
          <w:sz w:val="22"/>
          <w:szCs w:val="22"/>
        </w:rPr>
        <w:t>kap.výdavky</w:t>
      </w:r>
      <w:proofErr w:type="spellEnd"/>
      <w:r w:rsidR="005A4A49">
        <w:rPr>
          <w:rFonts w:asciiTheme="minorHAnsi" w:hAnsiTheme="minorHAnsi" w:cstheme="minorHAnsi"/>
          <w:sz w:val="22"/>
          <w:szCs w:val="22"/>
        </w:rPr>
        <w:t xml:space="preserve"> – dlh.   </w:t>
      </w:r>
      <w:r w:rsidR="00174A7C">
        <w:rPr>
          <w:rFonts w:asciiTheme="minorHAnsi" w:hAnsiTheme="minorHAnsi" w:cstheme="minorHAnsi"/>
          <w:sz w:val="22"/>
          <w:szCs w:val="22"/>
        </w:rPr>
        <w:t xml:space="preserve">   900 610,04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</w:p>
    <w:p w14:paraId="1C8AB3D4" w14:textId="5BF020AA" w:rsidR="00F654B1" w:rsidRPr="00A42529" w:rsidRDefault="00F654B1" w:rsidP="00F654B1">
      <w:pPr>
        <w:numPr>
          <w:ilvl w:val="0"/>
          <w:numId w:val="11"/>
        </w:numPr>
        <w:spacing w:after="33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zahraničné projekty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A4A49">
        <w:rPr>
          <w:rFonts w:asciiTheme="minorHAnsi" w:hAnsiTheme="minorHAnsi" w:cstheme="minorHAnsi"/>
          <w:sz w:val="22"/>
          <w:szCs w:val="22"/>
        </w:rPr>
        <w:t>- dlh.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5A4A49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1</w:t>
      </w:r>
      <w:r w:rsidR="007C352B">
        <w:rPr>
          <w:rFonts w:asciiTheme="minorHAnsi" w:hAnsiTheme="minorHAnsi" w:cstheme="minorHAnsi"/>
          <w:sz w:val="22"/>
          <w:szCs w:val="22"/>
        </w:rPr>
        <w:t> </w:t>
      </w:r>
      <w:r w:rsidR="00174A7C">
        <w:rPr>
          <w:rFonts w:asciiTheme="minorHAnsi" w:hAnsiTheme="minorHAnsi" w:cstheme="minorHAnsi"/>
          <w:sz w:val="22"/>
          <w:szCs w:val="22"/>
        </w:rPr>
        <w:t>077 671,68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 xml:space="preserve">Eur </w:t>
      </w:r>
    </w:p>
    <w:p w14:paraId="102187A9" w14:textId="55ADE760" w:rsidR="00F654B1" w:rsidRDefault="00F654B1" w:rsidP="00F654B1">
      <w:pPr>
        <w:numPr>
          <w:ilvl w:val="0"/>
          <w:numId w:val="11"/>
        </w:numPr>
        <w:spacing w:after="22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školné</w:t>
      </w:r>
      <w:r w:rsidR="005A4A49">
        <w:rPr>
          <w:rFonts w:asciiTheme="minorHAnsi" w:hAnsiTheme="minorHAnsi" w:cstheme="minorHAnsi"/>
          <w:sz w:val="22"/>
          <w:szCs w:val="22"/>
        </w:rPr>
        <w:t xml:space="preserve"> – krát.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174A7C">
        <w:rPr>
          <w:rFonts w:asciiTheme="minorHAnsi" w:hAnsiTheme="minorHAnsi" w:cstheme="minorHAnsi"/>
          <w:sz w:val="22"/>
          <w:szCs w:val="22"/>
        </w:rPr>
        <w:t>1 094 508,43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</w:p>
    <w:p w14:paraId="4FECFDD7" w14:textId="5855ADC9" w:rsidR="00174A7C" w:rsidRPr="00A42529" w:rsidRDefault="00174A7C" w:rsidP="00F654B1">
      <w:pPr>
        <w:numPr>
          <w:ilvl w:val="0"/>
          <w:numId w:val="11"/>
        </w:numPr>
        <w:spacing w:after="22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kapitálová dotácia-plán obnovy </w:t>
      </w:r>
      <w:r>
        <w:rPr>
          <w:rFonts w:asciiTheme="minorHAnsi" w:hAnsiTheme="minorHAnsi" w:cstheme="minorHAnsi"/>
          <w:sz w:val="22"/>
          <w:szCs w:val="22"/>
        </w:rPr>
        <w:tab/>
        <w:t xml:space="preserve">     159 484,88 Eur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8CC9AAD" w14:textId="02329E60" w:rsidR="005A4A49" w:rsidRDefault="00F654B1" w:rsidP="00F654B1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3189">
        <w:rPr>
          <w:rFonts w:asciiTheme="minorHAnsi" w:hAnsiTheme="minorHAnsi" w:cstheme="minorHAnsi"/>
          <w:sz w:val="22"/>
          <w:szCs w:val="22"/>
        </w:rPr>
        <w:t xml:space="preserve">PČ – poplatky za </w:t>
      </w:r>
      <w:proofErr w:type="spellStart"/>
      <w:r w:rsidRPr="00D73189">
        <w:rPr>
          <w:rFonts w:asciiTheme="minorHAnsi" w:hAnsiTheme="minorHAnsi" w:cstheme="minorHAnsi"/>
          <w:sz w:val="22"/>
          <w:szCs w:val="22"/>
        </w:rPr>
        <w:t>študium</w:t>
      </w:r>
      <w:proofErr w:type="spellEnd"/>
      <w:r w:rsidRPr="00D73189">
        <w:rPr>
          <w:rFonts w:asciiTheme="minorHAnsi" w:hAnsiTheme="minorHAnsi" w:cstheme="minorHAnsi"/>
          <w:sz w:val="22"/>
          <w:szCs w:val="22"/>
        </w:rPr>
        <w:t xml:space="preserve"> </w:t>
      </w:r>
      <w:r w:rsidR="005A4A49">
        <w:rPr>
          <w:rFonts w:asciiTheme="minorHAnsi" w:hAnsiTheme="minorHAnsi" w:cstheme="minorHAnsi"/>
          <w:sz w:val="22"/>
          <w:szCs w:val="22"/>
        </w:rPr>
        <w:t>-krát.</w:t>
      </w:r>
      <w:r w:rsidRPr="00D73189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A4A49">
        <w:rPr>
          <w:rFonts w:asciiTheme="minorHAnsi" w:hAnsiTheme="minorHAnsi" w:cstheme="minorHAnsi"/>
          <w:sz w:val="22"/>
          <w:szCs w:val="22"/>
        </w:rPr>
        <w:t xml:space="preserve">  </w:t>
      </w:r>
      <w:r w:rsidRPr="00D73189">
        <w:rPr>
          <w:rFonts w:asciiTheme="minorHAnsi" w:hAnsiTheme="minorHAnsi" w:cstheme="minorHAnsi"/>
          <w:sz w:val="22"/>
          <w:szCs w:val="22"/>
        </w:rPr>
        <w:t xml:space="preserve">     </w:t>
      </w:r>
      <w:r w:rsidR="00581285">
        <w:rPr>
          <w:rFonts w:asciiTheme="minorHAnsi" w:hAnsiTheme="minorHAnsi" w:cstheme="minorHAnsi"/>
          <w:sz w:val="22"/>
          <w:szCs w:val="22"/>
        </w:rPr>
        <w:t>4 7</w:t>
      </w:r>
      <w:r w:rsidR="00174A7C">
        <w:rPr>
          <w:rFonts w:asciiTheme="minorHAnsi" w:hAnsiTheme="minorHAnsi" w:cstheme="minorHAnsi"/>
          <w:sz w:val="22"/>
          <w:szCs w:val="22"/>
        </w:rPr>
        <w:t>22</w:t>
      </w:r>
      <w:r w:rsidR="00581285">
        <w:rPr>
          <w:rFonts w:asciiTheme="minorHAnsi" w:hAnsiTheme="minorHAnsi" w:cstheme="minorHAnsi"/>
          <w:sz w:val="22"/>
          <w:szCs w:val="22"/>
        </w:rPr>
        <w:t>,</w:t>
      </w:r>
      <w:r w:rsidR="00174A7C">
        <w:rPr>
          <w:rFonts w:asciiTheme="minorHAnsi" w:hAnsiTheme="minorHAnsi" w:cstheme="minorHAnsi"/>
          <w:sz w:val="22"/>
          <w:szCs w:val="22"/>
        </w:rPr>
        <w:t>4</w:t>
      </w:r>
      <w:r w:rsidR="00581285">
        <w:rPr>
          <w:rFonts w:asciiTheme="minorHAnsi" w:hAnsiTheme="minorHAnsi" w:cstheme="minorHAnsi"/>
          <w:sz w:val="22"/>
          <w:szCs w:val="22"/>
        </w:rPr>
        <w:t>8</w:t>
      </w:r>
      <w:r w:rsidRPr="00D731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73189">
        <w:rPr>
          <w:rFonts w:asciiTheme="minorHAnsi" w:hAnsiTheme="minorHAnsi" w:cstheme="minorHAnsi"/>
          <w:sz w:val="22"/>
          <w:szCs w:val="22"/>
        </w:rPr>
        <w:t>Eur</w:t>
      </w:r>
    </w:p>
    <w:p w14:paraId="715E2859" w14:textId="719C9142" w:rsidR="00F654B1" w:rsidRPr="00D73189" w:rsidRDefault="005A4A49" w:rsidP="00F654B1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ostatné</w:t>
      </w:r>
      <w:r w:rsidR="00F654B1" w:rsidRPr="00D73189">
        <w:rPr>
          <w:rFonts w:asciiTheme="minorHAnsi" w:hAnsiTheme="minorHAnsi" w:cstheme="minorHAnsi"/>
          <w:sz w:val="22"/>
          <w:szCs w:val="22"/>
        </w:rPr>
        <w:t xml:space="preserve"> </w:t>
      </w:r>
      <w:r w:rsidR="00025EA6">
        <w:rPr>
          <w:rFonts w:asciiTheme="minorHAnsi" w:hAnsiTheme="minorHAnsi" w:cstheme="minorHAnsi"/>
          <w:sz w:val="22"/>
          <w:szCs w:val="22"/>
        </w:rPr>
        <w:t>– krát.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5B6FB8">
        <w:rPr>
          <w:rFonts w:asciiTheme="minorHAnsi" w:hAnsiTheme="minorHAnsi" w:cstheme="minorHAnsi"/>
          <w:sz w:val="22"/>
          <w:szCs w:val="22"/>
        </w:rPr>
        <w:t xml:space="preserve">       </w:t>
      </w:r>
      <w:r w:rsidR="00181554">
        <w:rPr>
          <w:rFonts w:asciiTheme="minorHAnsi" w:hAnsiTheme="minorHAnsi" w:cstheme="minorHAnsi"/>
          <w:sz w:val="22"/>
          <w:szCs w:val="22"/>
        </w:rPr>
        <w:t>24</w:t>
      </w:r>
      <w:r w:rsidR="005B6FB8">
        <w:rPr>
          <w:rFonts w:asciiTheme="minorHAnsi" w:hAnsiTheme="minorHAnsi" w:cstheme="minorHAnsi"/>
          <w:sz w:val="22"/>
          <w:szCs w:val="22"/>
        </w:rPr>
        <w:t xml:space="preserve"> </w:t>
      </w:r>
      <w:r w:rsidR="00181554">
        <w:rPr>
          <w:rFonts w:asciiTheme="minorHAnsi" w:hAnsiTheme="minorHAnsi" w:cstheme="minorHAnsi"/>
          <w:sz w:val="22"/>
          <w:szCs w:val="22"/>
        </w:rPr>
        <w:t>3</w:t>
      </w:r>
      <w:r w:rsidR="00174A7C">
        <w:rPr>
          <w:rFonts w:asciiTheme="minorHAnsi" w:hAnsiTheme="minorHAnsi" w:cstheme="minorHAnsi"/>
          <w:sz w:val="22"/>
          <w:szCs w:val="22"/>
        </w:rPr>
        <w:t>0</w:t>
      </w:r>
      <w:r w:rsidR="0018155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,00 Eur</w:t>
      </w:r>
    </w:p>
    <w:p w14:paraId="443EC2E3" w14:textId="0BE941D4" w:rsidR="00F654B1" w:rsidRDefault="00F654B1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F72987" w14:textId="77777777" w:rsidR="006460B2" w:rsidRDefault="006460B2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C74F50" w14:textId="28BB7C07" w:rsidR="00F654B1" w:rsidRPr="00294F8B" w:rsidRDefault="00F654B1" w:rsidP="00F654B1">
      <w:pPr>
        <w:spacing w:after="17"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TU v Trnave k 31. 12. 202</w:t>
      </w:r>
      <w:r w:rsidR="00174A7C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vykázala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>323 – Krátkodobé rezervy</w:t>
      </w:r>
      <w:r w:rsidRPr="00A42529">
        <w:rPr>
          <w:rFonts w:asciiTheme="minorHAnsi" w:hAnsiTheme="minorHAnsi" w:cstheme="minorHAnsi"/>
          <w:sz w:val="22"/>
          <w:szCs w:val="22"/>
        </w:rPr>
        <w:t xml:space="preserve"> spolu </w:t>
      </w:r>
      <w:r w:rsidR="006460B2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174A7C">
        <w:rPr>
          <w:rFonts w:asciiTheme="minorHAnsi" w:hAnsiTheme="minorHAnsi" w:cstheme="minorHAnsi"/>
          <w:sz w:val="22"/>
          <w:szCs w:val="22"/>
        </w:rPr>
        <w:t>587 622,33</w:t>
      </w:r>
      <w:r w:rsidRPr="00294F8B">
        <w:rPr>
          <w:rFonts w:asciiTheme="minorHAnsi" w:hAnsiTheme="minorHAnsi" w:cstheme="minorHAnsi"/>
          <w:sz w:val="22"/>
          <w:szCs w:val="22"/>
        </w:rPr>
        <w:t xml:space="preserve"> Eur, z toho:  </w:t>
      </w:r>
    </w:p>
    <w:p w14:paraId="173A8988" w14:textId="249D71CC" w:rsidR="00F654B1" w:rsidRPr="007567A3" w:rsidRDefault="00F654B1" w:rsidP="00F654B1">
      <w:pPr>
        <w:numPr>
          <w:ilvl w:val="0"/>
          <w:numId w:val="12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hlavná činnosť                       </w:t>
      </w:r>
      <w:r w:rsidR="00181554">
        <w:rPr>
          <w:rFonts w:asciiTheme="minorHAnsi" w:hAnsiTheme="minorHAnsi" w:cstheme="minorHAnsi"/>
          <w:sz w:val="22"/>
          <w:szCs w:val="22"/>
        </w:rPr>
        <w:t>5</w:t>
      </w:r>
      <w:r w:rsidR="00174A7C">
        <w:rPr>
          <w:rFonts w:asciiTheme="minorHAnsi" w:hAnsiTheme="minorHAnsi" w:cstheme="minorHAnsi"/>
          <w:sz w:val="22"/>
          <w:szCs w:val="22"/>
        </w:rPr>
        <w:t>87 622,33</w:t>
      </w:r>
      <w:r w:rsidRPr="007567A3">
        <w:rPr>
          <w:rFonts w:asciiTheme="minorHAnsi" w:hAnsiTheme="minorHAnsi" w:cstheme="minorHAnsi"/>
          <w:sz w:val="22"/>
          <w:szCs w:val="22"/>
        </w:rPr>
        <w:t xml:space="preserve"> Eur </w:t>
      </w:r>
    </w:p>
    <w:p w14:paraId="3BBAD53D" w14:textId="77777777" w:rsidR="00F654B1" w:rsidRPr="00A42529" w:rsidRDefault="00F654B1" w:rsidP="00F654B1">
      <w:pPr>
        <w:numPr>
          <w:ilvl w:val="0"/>
          <w:numId w:val="12"/>
        </w:numPr>
        <w:spacing w:after="111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podnikateľská činnosť 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     </w:t>
      </w:r>
      <w:r w:rsidRPr="00294F8B">
        <w:rPr>
          <w:rFonts w:asciiTheme="minorHAnsi" w:hAnsiTheme="minorHAnsi" w:cstheme="minorHAnsi"/>
          <w:sz w:val="22"/>
          <w:szCs w:val="22"/>
        </w:rPr>
        <w:t xml:space="preserve">0,00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Eur. </w:t>
      </w:r>
    </w:p>
    <w:p w14:paraId="09934CCC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Doplňujúce údaje k súvahe sú uvedené v poznámkach, ktoré sú súčasťou tabuľkovej časti výročnej správy.  </w:t>
      </w:r>
    </w:p>
    <w:p w14:paraId="72F5D418" w14:textId="7D7FBEA8" w:rsidR="00BC41CC" w:rsidRPr="00A42529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D6A071" w14:textId="77777777" w:rsidR="00BC41CC" w:rsidRPr="00A42529" w:rsidRDefault="00BC41CC" w:rsidP="00BC41C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5F57A" w14:textId="77777777" w:rsidR="00A374CC" w:rsidRPr="00A42529" w:rsidRDefault="00A374CC" w:rsidP="00A374CC">
      <w:pPr>
        <w:ind w:left="-5" w:right="5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1.2 Výkaz ziskov a strát </w:t>
      </w:r>
    </w:p>
    <w:p w14:paraId="52372EC6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A0A3986" w14:textId="066C9688" w:rsidR="00A374CC" w:rsidRPr="00A42529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súlade s opatrením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Ministerstva financií SR č. MF/17616/2013-74</w:t>
      </w:r>
      <w:r w:rsidR="009F32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znení neskorších predpisov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Trnavská univerzita sleduje oddelene náklady a výnosy za hlavnú (nezdaňovanú) a podnikateľskú (zdaňovanú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činnosť. Oddelené sledovanie nákladov a výnosov dáva ucelený pohľad na dosiahnutú ekonomickú efektívnosť.    </w:t>
      </w:r>
    </w:p>
    <w:p w14:paraId="654D8A1E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6AB882D4" w14:textId="77777777" w:rsidR="00A374CC" w:rsidRPr="00A42529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Výkaz ziskov a strát je spracovaný na základe metodického usmernenia MŠVVaŠ SR v týchto vyhotoveniach: </w:t>
      </w:r>
    </w:p>
    <w:p w14:paraId="437FE85D" w14:textId="77777777" w:rsidR="00A374CC" w:rsidRPr="00A42529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 xml:space="preserve">sumárne za celú TU v Trnave </w:t>
      </w:r>
    </w:p>
    <w:p w14:paraId="1D022076" w14:textId="44A57536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Náklady za ekonomickú činnosť TU v Trnave dosiahli v roku 202</w:t>
      </w:r>
      <w:r w:rsidR="00174A7C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sumu  </w:t>
      </w:r>
      <w:r w:rsidR="00FB4471">
        <w:rPr>
          <w:rFonts w:asciiTheme="minorHAnsi" w:hAnsiTheme="minorHAnsi" w:cstheme="minorHAnsi"/>
          <w:b/>
          <w:sz w:val="22"/>
          <w:szCs w:val="22"/>
        </w:rPr>
        <w:t>2</w:t>
      </w:r>
      <w:r w:rsidR="00174A7C">
        <w:rPr>
          <w:rFonts w:asciiTheme="minorHAnsi" w:hAnsiTheme="minorHAnsi" w:cstheme="minorHAnsi"/>
          <w:b/>
          <w:sz w:val="22"/>
          <w:szCs w:val="22"/>
        </w:rPr>
        <w:t>3 486 914,11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b/>
          <w:sz w:val="22"/>
          <w:szCs w:val="22"/>
        </w:rPr>
        <w:t>Eur</w:t>
      </w:r>
      <w:r w:rsidRPr="00A42529">
        <w:rPr>
          <w:rFonts w:asciiTheme="minorHAnsi" w:hAnsiTheme="minorHAnsi" w:cstheme="minorHAnsi"/>
          <w:sz w:val="22"/>
          <w:szCs w:val="22"/>
        </w:rPr>
        <w:t xml:space="preserve">, z toho hlavná činnosť nezdaňovaná </w:t>
      </w:r>
      <w:r w:rsidR="0050798D">
        <w:rPr>
          <w:rFonts w:asciiTheme="minorHAnsi" w:hAnsiTheme="minorHAnsi" w:cstheme="minorHAnsi"/>
          <w:sz w:val="22"/>
          <w:szCs w:val="22"/>
        </w:rPr>
        <w:t>2</w:t>
      </w:r>
      <w:r w:rsidR="00174A7C">
        <w:rPr>
          <w:rFonts w:asciiTheme="minorHAnsi" w:hAnsiTheme="minorHAnsi" w:cstheme="minorHAnsi"/>
          <w:sz w:val="22"/>
          <w:szCs w:val="22"/>
        </w:rPr>
        <w:t>3 213 384,25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</w:t>
      </w:r>
      <w:r w:rsidR="00174A7C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74A7C">
        <w:rPr>
          <w:rFonts w:asciiTheme="minorHAnsi" w:hAnsiTheme="minorHAnsi" w:cstheme="minorHAnsi"/>
          <w:color w:val="000000" w:themeColor="text1"/>
          <w:sz w:val="22"/>
          <w:szCs w:val="22"/>
        </w:rPr>
        <w:t>84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</w:t>
      </w:r>
      <w:r w:rsidR="00174A7C">
        <w:rPr>
          <w:rFonts w:asciiTheme="minorHAnsi" w:hAnsiTheme="minorHAnsi" w:cstheme="minorHAnsi"/>
          <w:color w:val="000000" w:themeColor="text1"/>
          <w:sz w:val="22"/>
          <w:szCs w:val="22"/>
        </w:rPr>
        <w:t>273 529,86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</w:t>
      </w:r>
      <w:r w:rsidR="00174A7C">
        <w:rPr>
          <w:rFonts w:asciiTheme="minorHAnsi" w:hAnsiTheme="minorHAnsi" w:cstheme="minorHAnsi"/>
          <w:color w:val="000000" w:themeColor="text1"/>
          <w:sz w:val="22"/>
          <w:szCs w:val="22"/>
        </w:rPr>
        <w:t>1,16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75A41F30" w14:textId="4D855996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Výnosy za  ekonomickú činnosť TU v Trnave dosiahli v roku 202</w:t>
      </w:r>
      <w:r w:rsidR="000C4943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výšku </w:t>
      </w:r>
      <w:r w:rsidR="0050798D" w:rsidRPr="0050798D">
        <w:rPr>
          <w:rFonts w:asciiTheme="minorHAnsi" w:hAnsiTheme="minorHAnsi" w:cstheme="minorHAnsi"/>
          <w:b/>
          <w:sz w:val="22"/>
          <w:szCs w:val="22"/>
        </w:rPr>
        <w:t>2</w:t>
      </w:r>
      <w:r w:rsidR="000C4943">
        <w:rPr>
          <w:rFonts w:asciiTheme="minorHAnsi" w:hAnsiTheme="minorHAnsi" w:cstheme="minorHAnsi"/>
          <w:b/>
          <w:sz w:val="22"/>
          <w:szCs w:val="22"/>
        </w:rPr>
        <w:t>4 827 605,38</w:t>
      </w:r>
      <w:r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Hlavná nezdaňovaná činnosť sa na celkových výnosoch podieľa sumou </w:t>
      </w:r>
      <w:r w:rsidR="0050798D">
        <w:rPr>
          <w:rFonts w:asciiTheme="minorHAnsi" w:hAnsiTheme="minorHAnsi" w:cstheme="minorHAnsi"/>
          <w:sz w:val="22"/>
          <w:szCs w:val="22"/>
        </w:rPr>
        <w:t>2</w:t>
      </w:r>
      <w:r w:rsidR="000C4943">
        <w:rPr>
          <w:rFonts w:asciiTheme="minorHAnsi" w:hAnsiTheme="minorHAnsi" w:cstheme="minorHAnsi"/>
          <w:sz w:val="22"/>
          <w:szCs w:val="22"/>
        </w:rPr>
        <w:t>4 489 572,10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5079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(9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64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sumou 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338 033,28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1,36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344D69DA" w14:textId="2D02EEE7" w:rsidR="00A374CC" w:rsidRPr="00BA44AB" w:rsidRDefault="00A374CC" w:rsidP="008C3659">
      <w:pPr>
        <w:shd w:val="clear" w:color="auto" w:fill="FFFFFF" w:themeFill="background1"/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 roku 202</w:t>
      </w:r>
      <w:r w:rsidR="000C4943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dosiahla TU v Trnave </w:t>
      </w:r>
      <w:r w:rsidR="000C4943">
        <w:rPr>
          <w:rFonts w:asciiTheme="minorHAnsi" w:hAnsiTheme="minorHAnsi" w:cstheme="minorHAnsi"/>
          <w:sz w:val="22"/>
          <w:szCs w:val="22"/>
        </w:rPr>
        <w:t>kladný</w:t>
      </w:r>
      <w:r w:rsidR="00834EFD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výsledok hospodárenia po zdanení, teda </w:t>
      </w:r>
      <w:r w:rsidR="000C4943">
        <w:rPr>
          <w:rFonts w:asciiTheme="minorHAnsi" w:hAnsiTheme="minorHAnsi" w:cstheme="minorHAnsi"/>
          <w:sz w:val="22"/>
          <w:szCs w:val="22"/>
        </w:rPr>
        <w:t>zisk</w:t>
      </w:r>
      <w:r w:rsidRPr="00A42529">
        <w:rPr>
          <w:rFonts w:asciiTheme="minorHAnsi" w:hAnsiTheme="minorHAnsi" w:cstheme="minorHAnsi"/>
          <w:sz w:val="22"/>
          <w:szCs w:val="22"/>
        </w:rPr>
        <w:t xml:space="preserve"> vo výške </w:t>
      </w:r>
      <w:r w:rsidR="000C4943" w:rsidRPr="000C4943">
        <w:rPr>
          <w:rFonts w:asciiTheme="minorHAnsi" w:hAnsiTheme="minorHAnsi" w:cstheme="minorHAnsi"/>
          <w:b/>
          <w:sz w:val="22"/>
          <w:szCs w:val="22"/>
        </w:rPr>
        <w:t>1 3</w:t>
      </w:r>
      <w:r w:rsidR="00B80627">
        <w:rPr>
          <w:rFonts w:asciiTheme="minorHAnsi" w:hAnsiTheme="minorHAnsi" w:cstheme="minorHAnsi"/>
          <w:b/>
          <w:sz w:val="22"/>
          <w:szCs w:val="22"/>
        </w:rPr>
        <w:t>26 740,35</w:t>
      </w:r>
      <w:r w:rsidRPr="00FC50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 rámci hlavnej nezdaňovanej činnosti dosiahla </w:t>
      </w:r>
      <w:r w:rsidR="000C4943">
        <w:rPr>
          <w:rFonts w:asciiTheme="minorHAnsi" w:hAnsiTheme="minorHAnsi" w:cstheme="minorHAnsi"/>
          <w:sz w:val="22"/>
          <w:szCs w:val="22"/>
        </w:rPr>
        <w:t xml:space="preserve">zisk </w:t>
      </w:r>
      <w:r w:rsidRPr="00A42529">
        <w:rPr>
          <w:rFonts w:asciiTheme="minorHAnsi" w:hAnsiTheme="minorHAnsi" w:cstheme="minorHAnsi"/>
          <w:sz w:val="22"/>
          <w:szCs w:val="22"/>
        </w:rPr>
        <w:t>vo výške</w:t>
      </w:r>
      <w:r w:rsidR="000C4943">
        <w:rPr>
          <w:rFonts w:asciiTheme="minorHAnsi" w:hAnsiTheme="minorHAnsi" w:cstheme="minorHAnsi"/>
          <w:sz w:val="22"/>
          <w:szCs w:val="22"/>
        </w:rPr>
        <w:t xml:space="preserve"> 1 276 187,85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</w:t>
      </w:r>
      <w:r w:rsidRPr="00A42529">
        <w:rPr>
          <w:rFonts w:asciiTheme="minorHAnsi" w:hAnsiTheme="minorHAnsi" w:cstheme="minorHAnsi"/>
          <w:sz w:val="22"/>
          <w:szCs w:val="22"/>
        </w:rPr>
        <w:t xml:space="preserve">a v zdaňovanej činnosti zisk vo výške </w:t>
      </w:r>
      <w:r w:rsidR="000C4943">
        <w:rPr>
          <w:rFonts w:asciiTheme="minorHAnsi" w:hAnsiTheme="minorHAnsi" w:cstheme="minorHAnsi"/>
          <w:sz w:val="22"/>
          <w:szCs w:val="22"/>
        </w:rPr>
        <w:t>50 552,50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Zisk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sume 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1 326 740,35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sz w:val="22"/>
          <w:szCs w:val="22"/>
        </w:rPr>
        <w:t>bude v priebehu roku 202</w:t>
      </w:r>
      <w:r w:rsidR="000C4943">
        <w:rPr>
          <w:rFonts w:asciiTheme="minorHAnsi" w:hAnsiTheme="minorHAnsi" w:cstheme="minorHAnsi"/>
          <w:sz w:val="22"/>
          <w:szCs w:val="22"/>
        </w:rPr>
        <w:t>5</w:t>
      </w:r>
      <w:r w:rsidRPr="00A42529">
        <w:rPr>
          <w:rFonts w:asciiTheme="minorHAnsi" w:hAnsiTheme="minorHAnsi" w:cstheme="minorHAnsi"/>
          <w:sz w:val="22"/>
          <w:szCs w:val="22"/>
        </w:rPr>
        <w:t xml:space="preserve"> zúčtovan</w:t>
      </w:r>
      <w:r w:rsidR="008C3659">
        <w:rPr>
          <w:rFonts w:asciiTheme="minorHAnsi" w:hAnsiTheme="minorHAnsi" w:cstheme="minorHAnsi"/>
          <w:sz w:val="22"/>
          <w:szCs w:val="22"/>
        </w:rPr>
        <w:t>ý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5329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účet </w:t>
      </w:r>
      <w:r w:rsidR="00BA44AB">
        <w:rPr>
          <w:rFonts w:asciiTheme="minorHAnsi" w:hAnsiTheme="minorHAnsi" w:cstheme="minorHAnsi"/>
          <w:sz w:val="22"/>
          <w:szCs w:val="22"/>
        </w:rPr>
        <w:t>421 –</w:t>
      </w:r>
      <w:r w:rsidR="008C3659">
        <w:rPr>
          <w:rFonts w:asciiTheme="minorHAnsi" w:hAnsiTheme="minorHAnsi" w:cstheme="minorHAnsi"/>
          <w:sz w:val="22"/>
          <w:szCs w:val="22"/>
        </w:rPr>
        <w:t>Tvorba rezervného fondu a na účet 413 – Tvorba fondu reprodukcie.</w:t>
      </w:r>
    </w:p>
    <w:p w14:paraId="18E29BF3" w14:textId="77777777" w:rsidR="00A374CC" w:rsidRPr="005329D6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29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osobitne v oblasti sociálnej podpory študentov </w:t>
      </w:r>
    </w:p>
    <w:p w14:paraId="48858541" w14:textId="77777777" w:rsidR="00A374CC" w:rsidRPr="00A42529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Táto oblasť zahŕňa štipendiá študentov z vlastných zdrojov, poskytovanie služieb študentom študentskými domovmi a jedálňami a </w:t>
      </w:r>
      <w:r w:rsidRPr="00704487">
        <w:rPr>
          <w:rFonts w:asciiTheme="minorHAnsi" w:hAnsiTheme="minorHAnsi" w:cstheme="minorHAnsi"/>
          <w:sz w:val="22"/>
          <w:szCs w:val="22"/>
        </w:rPr>
        <w:t>podporu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športových a kultúrnych aktivít. </w:t>
      </w:r>
    </w:p>
    <w:p w14:paraId="5A067244" w14:textId="59F9A030" w:rsidR="00BA44AB" w:rsidRPr="00133A6E" w:rsidRDefault="00A374CC" w:rsidP="00A374CC">
      <w:pPr>
        <w:spacing w:line="276" w:lineRule="auto"/>
        <w:ind w:left="268"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704487">
        <w:rPr>
          <w:rFonts w:asciiTheme="minorHAnsi" w:hAnsiTheme="minorHAnsi" w:cstheme="minorHAnsi"/>
          <w:sz w:val="22"/>
          <w:szCs w:val="22"/>
        </w:rPr>
        <w:t xml:space="preserve">Náklady TU v Trnave v oblasti sociálnej podpory študentov dosiahli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 roku 202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33A6E">
        <w:rPr>
          <w:rFonts w:asciiTheme="minorHAnsi" w:hAnsiTheme="minorHAnsi" w:cstheme="minorHAnsi"/>
          <w:sz w:val="22"/>
          <w:szCs w:val="22"/>
        </w:rPr>
        <w:t xml:space="preserve">celkom </w:t>
      </w:r>
      <w:r w:rsidR="00F87636" w:rsidRPr="008C365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7</w:t>
      </w:r>
      <w:r w:rsidR="008C3659" w:rsidRPr="008C365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68 876,70</w:t>
      </w:r>
      <w:r w:rsidRPr="008C365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Eur. Výnosy predstavujú sumu </w:t>
      </w:r>
      <w:r w:rsidR="008C3659" w:rsidRPr="008C365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768 876,70</w:t>
      </w:r>
      <w:r w:rsidRPr="008C365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Eur. Výsledok hospodárenia po zdanení</w:t>
      </w:r>
      <w:r w:rsidRPr="00133A6E">
        <w:rPr>
          <w:rFonts w:asciiTheme="minorHAnsi" w:hAnsiTheme="minorHAnsi" w:cstheme="minorHAnsi"/>
          <w:sz w:val="22"/>
          <w:szCs w:val="22"/>
        </w:rPr>
        <w:t xml:space="preserve"> je vyrovnaný. </w:t>
      </w:r>
    </w:p>
    <w:p w14:paraId="642F1441" w14:textId="77777777" w:rsidR="00C410A9" w:rsidRPr="005108F1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4C95AC" w14:textId="6F64273B" w:rsidR="00A374CC" w:rsidRPr="00A42529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Uvedené </w:t>
      </w:r>
      <w:r w:rsidR="00A374CC" w:rsidRPr="00A42529">
        <w:rPr>
          <w:rFonts w:asciiTheme="minorHAnsi" w:hAnsiTheme="minorHAnsi" w:cstheme="minorHAnsi"/>
          <w:sz w:val="22"/>
          <w:szCs w:val="22"/>
        </w:rPr>
        <w:t xml:space="preserve">výkazy sú uvedené v tabuľkovej časti správy. Doplňujúce  údaje k výkazu ziskov a strát sú uvedené v poznámkach.  </w:t>
      </w:r>
    </w:p>
    <w:p w14:paraId="0C16D8EE" w14:textId="1ED8B965" w:rsidR="00A374CC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Vychádzajúc z výkaz</w:t>
      </w:r>
      <w:r>
        <w:rPr>
          <w:rFonts w:asciiTheme="minorHAnsi" w:hAnsiTheme="minorHAnsi" w:cstheme="minorHAnsi"/>
          <w:sz w:val="22"/>
          <w:szCs w:val="22"/>
        </w:rPr>
        <w:t>ov</w:t>
      </w:r>
      <w:r w:rsidRPr="00A42529">
        <w:rPr>
          <w:rFonts w:asciiTheme="minorHAnsi" w:hAnsiTheme="minorHAnsi" w:cstheme="minorHAnsi"/>
          <w:sz w:val="22"/>
          <w:szCs w:val="22"/>
        </w:rPr>
        <w:t xml:space="preserve"> ziskov a strát za roky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0C4943">
        <w:rPr>
          <w:rFonts w:asciiTheme="minorHAnsi" w:hAnsiTheme="minorHAnsi" w:cstheme="minorHAnsi"/>
          <w:sz w:val="22"/>
          <w:szCs w:val="22"/>
        </w:rPr>
        <w:t>3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202</w:t>
      </w:r>
      <w:r w:rsidR="000C4943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bol</w:t>
      </w:r>
      <w:r>
        <w:rPr>
          <w:rFonts w:asciiTheme="minorHAnsi" w:hAnsiTheme="minorHAnsi" w:cstheme="minorHAnsi"/>
          <w:sz w:val="22"/>
          <w:szCs w:val="22"/>
        </w:rPr>
        <w:t xml:space="preserve">i porovnané výnosy a  </w:t>
      </w:r>
      <w:r w:rsidRPr="00A42529">
        <w:rPr>
          <w:rFonts w:asciiTheme="minorHAnsi" w:hAnsiTheme="minorHAnsi" w:cstheme="minorHAnsi"/>
          <w:sz w:val="22"/>
          <w:szCs w:val="22"/>
        </w:rPr>
        <w:t>náklad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ich vplyv na výsledok hospodárenia TU v</w:t>
      </w:r>
      <w:r w:rsidR="00CD0292">
        <w:rPr>
          <w:rFonts w:asciiTheme="minorHAnsi" w:hAnsiTheme="minorHAnsi" w:cstheme="minorHAnsi"/>
          <w:sz w:val="22"/>
          <w:szCs w:val="22"/>
        </w:rPr>
        <w:t> </w:t>
      </w:r>
      <w:r w:rsidRPr="00A42529">
        <w:rPr>
          <w:rFonts w:asciiTheme="minorHAnsi" w:hAnsiTheme="minorHAnsi" w:cstheme="minorHAnsi"/>
          <w:sz w:val="22"/>
          <w:szCs w:val="22"/>
        </w:rPr>
        <w:t>Trnave</w:t>
      </w:r>
      <w:r w:rsidR="00CD0292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(tabuľky A  až  D). Celkové výnosy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vykazovali v roku 202</w:t>
      </w:r>
      <w:r w:rsidR="000C4943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porovnaní s predchádzajúcim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obdobím </w:t>
      </w:r>
      <w:r w:rsidRPr="004C4F42">
        <w:rPr>
          <w:rFonts w:asciiTheme="minorHAnsi" w:hAnsiTheme="minorHAnsi" w:cstheme="minorHAnsi"/>
          <w:sz w:val="22"/>
          <w:szCs w:val="22"/>
        </w:rPr>
        <w:t>nárast  o</w:t>
      </w:r>
      <w:r w:rsidR="000C4943">
        <w:rPr>
          <w:rFonts w:asciiTheme="minorHAnsi" w:hAnsiTheme="minorHAnsi" w:cstheme="minorHAnsi"/>
          <w:sz w:val="22"/>
          <w:szCs w:val="22"/>
        </w:rPr>
        <w:t xml:space="preserve"> 15</w:t>
      </w:r>
      <w:r w:rsidRPr="004C4F42">
        <w:rPr>
          <w:rFonts w:asciiTheme="minorHAnsi" w:hAnsiTheme="minorHAnsi" w:cstheme="minorHAnsi"/>
          <w:sz w:val="22"/>
          <w:szCs w:val="22"/>
        </w:rPr>
        <w:t xml:space="preserve"> %,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zároveň bol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zaznamenan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zvýšenie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celkových nákladov o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5612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C4943">
        <w:rPr>
          <w:rFonts w:asciiTheme="minorHAnsi" w:hAnsiTheme="minorHAnsi" w:cstheme="minorHAnsi"/>
          <w:color w:val="000000" w:themeColor="text1"/>
          <w:sz w:val="22"/>
          <w:szCs w:val="22"/>
        </w:rPr>
        <w:t>94</w:t>
      </w:r>
      <w:r w:rsidRPr="00263B47">
        <w:rPr>
          <w:rFonts w:asciiTheme="minorHAnsi" w:hAnsiTheme="minorHAnsi" w:cstheme="minorHAnsi"/>
          <w:color w:val="D99594" w:themeColor="accent2" w:themeTint="99"/>
          <w:sz w:val="22"/>
          <w:szCs w:val="22"/>
        </w:rPr>
        <w:t xml:space="preserve"> </w:t>
      </w:r>
      <w:r w:rsidRPr="00C35C00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48B74695" w14:textId="3A1BA782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5F6D9" w14:textId="640BCDC1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146AC" w14:textId="6460FAFD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89B930" w14:textId="79925B3F" w:rsidR="004377F3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C386FB" w14:textId="77777777" w:rsidR="004377F3" w:rsidRPr="002B3D37" w:rsidRDefault="004377F3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F78A18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A      Výnosy TU v Trnave za hlavnú činnosť a podnikateľskú </w:t>
      </w:r>
      <w:r w:rsidRPr="00BD62C8">
        <w:rPr>
          <w:rFonts w:asciiTheme="minorHAnsi" w:hAnsiTheme="minorHAnsi" w:cstheme="minorHAnsi"/>
          <w:i/>
          <w:sz w:val="22"/>
          <w:szCs w:val="22"/>
        </w:rPr>
        <w:t xml:space="preserve">činnosť  (v Eur)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124"/>
        <w:gridCol w:w="3047"/>
        <w:gridCol w:w="1693"/>
        <w:gridCol w:w="1536"/>
        <w:gridCol w:w="1381"/>
      </w:tblGrid>
      <w:tr w:rsidR="00A374CC" w:rsidRPr="00ED3FD6" w14:paraId="7F499BF4" w14:textId="77777777" w:rsidTr="00A374CC">
        <w:trPr>
          <w:trHeight w:val="538"/>
        </w:trPr>
        <w:tc>
          <w:tcPr>
            <w:tcW w:w="1124" w:type="dxa"/>
            <w:shd w:val="clear" w:color="auto" w:fill="92D050"/>
            <w:vAlign w:val="center"/>
          </w:tcPr>
          <w:p w14:paraId="6A7989B1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3047" w:type="dxa"/>
            <w:shd w:val="clear" w:color="auto" w:fill="92D050"/>
            <w:vAlign w:val="center"/>
          </w:tcPr>
          <w:p w14:paraId="53A4365F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693" w:type="dxa"/>
            <w:shd w:val="clear" w:color="auto" w:fill="92D050"/>
            <w:vAlign w:val="center"/>
          </w:tcPr>
          <w:p w14:paraId="5DC6CA01" w14:textId="66E5C7D5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0C4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36" w:type="dxa"/>
            <w:shd w:val="clear" w:color="auto" w:fill="92D050"/>
            <w:vAlign w:val="center"/>
          </w:tcPr>
          <w:p w14:paraId="2E406CFE" w14:textId="0ADED87F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 w:rsidR="000C4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381" w:type="dxa"/>
            <w:shd w:val="clear" w:color="auto" w:fill="92D050"/>
            <w:vAlign w:val="center"/>
          </w:tcPr>
          <w:p w14:paraId="78A223F0" w14:textId="27126E78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0C4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0C4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0C4943" w:rsidRPr="00ED3FD6" w14:paraId="4AC0C44A" w14:textId="77777777" w:rsidTr="00A374CC">
        <w:tc>
          <w:tcPr>
            <w:tcW w:w="1124" w:type="dxa"/>
          </w:tcPr>
          <w:p w14:paraId="45F0E3E4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0060634"/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602</w:t>
            </w:r>
          </w:p>
        </w:tc>
        <w:tc>
          <w:tcPr>
            <w:tcW w:w="3047" w:type="dxa"/>
          </w:tcPr>
          <w:p w14:paraId="45636C3B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 predaja služieb</w:t>
            </w:r>
          </w:p>
        </w:tc>
        <w:tc>
          <w:tcPr>
            <w:tcW w:w="1693" w:type="dxa"/>
          </w:tcPr>
          <w:p w14:paraId="123BFB70" w14:textId="016E89A7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510 846,97</w:t>
            </w:r>
          </w:p>
        </w:tc>
        <w:tc>
          <w:tcPr>
            <w:tcW w:w="1536" w:type="dxa"/>
          </w:tcPr>
          <w:p w14:paraId="2229AFA9" w14:textId="533CD2A9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488 118,65</w:t>
            </w:r>
          </w:p>
        </w:tc>
        <w:tc>
          <w:tcPr>
            <w:tcW w:w="1381" w:type="dxa"/>
          </w:tcPr>
          <w:p w14:paraId="3444B42C" w14:textId="4E11C995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0,96</w:t>
            </w:r>
          </w:p>
        </w:tc>
      </w:tr>
      <w:tr w:rsidR="000C4943" w:rsidRPr="00ED3FD6" w14:paraId="600AB5B5" w14:textId="77777777" w:rsidTr="00A374CC">
        <w:tc>
          <w:tcPr>
            <w:tcW w:w="1124" w:type="dxa"/>
          </w:tcPr>
          <w:p w14:paraId="60372F96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604</w:t>
            </w:r>
          </w:p>
        </w:tc>
        <w:tc>
          <w:tcPr>
            <w:tcW w:w="3047" w:type="dxa"/>
          </w:tcPr>
          <w:p w14:paraId="40296C20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za predaný tovar</w:t>
            </w:r>
          </w:p>
        </w:tc>
        <w:tc>
          <w:tcPr>
            <w:tcW w:w="1693" w:type="dxa"/>
          </w:tcPr>
          <w:p w14:paraId="1025F147" w14:textId="08A38CA2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17 994,35</w:t>
            </w:r>
          </w:p>
        </w:tc>
        <w:tc>
          <w:tcPr>
            <w:tcW w:w="1536" w:type="dxa"/>
          </w:tcPr>
          <w:p w14:paraId="1AA5E89E" w14:textId="52C274E4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19 980,20</w:t>
            </w:r>
          </w:p>
        </w:tc>
        <w:tc>
          <w:tcPr>
            <w:tcW w:w="1381" w:type="dxa"/>
          </w:tcPr>
          <w:p w14:paraId="69D9B53C" w14:textId="17C3A62C" w:rsidR="000C4943" w:rsidRPr="00ED3FD6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1,11</w:t>
            </w:r>
          </w:p>
        </w:tc>
      </w:tr>
      <w:tr w:rsidR="000C4943" w:rsidRPr="00ED3FD6" w14:paraId="0D4BC00F" w14:textId="77777777" w:rsidTr="00A374CC">
        <w:tc>
          <w:tcPr>
            <w:tcW w:w="1124" w:type="dxa"/>
          </w:tcPr>
          <w:p w14:paraId="1E717FFC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642</w:t>
            </w:r>
          </w:p>
        </w:tc>
        <w:tc>
          <w:tcPr>
            <w:tcW w:w="3047" w:type="dxa"/>
          </w:tcPr>
          <w:p w14:paraId="0347A471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Ostatné pokuty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penále</w:t>
            </w:r>
          </w:p>
        </w:tc>
        <w:tc>
          <w:tcPr>
            <w:tcW w:w="1693" w:type="dxa"/>
          </w:tcPr>
          <w:p w14:paraId="6E7C37DF" w14:textId="0556E8D7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2 978,61</w:t>
            </w:r>
          </w:p>
        </w:tc>
        <w:tc>
          <w:tcPr>
            <w:tcW w:w="1536" w:type="dxa"/>
          </w:tcPr>
          <w:p w14:paraId="2E786864" w14:textId="369D7C9D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2 148,51</w:t>
            </w:r>
          </w:p>
        </w:tc>
        <w:tc>
          <w:tcPr>
            <w:tcW w:w="1381" w:type="dxa"/>
          </w:tcPr>
          <w:p w14:paraId="5C4990FA" w14:textId="4CAA5770" w:rsidR="000C4943" w:rsidRPr="00ED3FD6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0,72</w:t>
            </w:r>
          </w:p>
        </w:tc>
      </w:tr>
      <w:tr w:rsidR="000C4943" w:rsidRPr="00ED3FD6" w14:paraId="01884936" w14:textId="77777777" w:rsidTr="00A374CC">
        <w:tc>
          <w:tcPr>
            <w:tcW w:w="1124" w:type="dxa"/>
          </w:tcPr>
          <w:p w14:paraId="2E13AEE1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  <w:tc>
          <w:tcPr>
            <w:tcW w:w="3047" w:type="dxa"/>
          </w:tcPr>
          <w:p w14:paraId="4428C6C1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Úroky</w:t>
            </w:r>
          </w:p>
        </w:tc>
        <w:tc>
          <w:tcPr>
            <w:tcW w:w="1693" w:type="dxa"/>
          </w:tcPr>
          <w:p w14:paraId="6B5DABDC" w14:textId="722F31BE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775,14</w:t>
            </w:r>
          </w:p>
        </w:tc>
        <w:tc>
          <w:tcPr>
            <w:tcW w:w="1536" w:type="dxa"/>
          </w:tcPr>
          <w:p w14:paraId="0396F749" w14:textId="13FD4C2F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1 165,80</w:t>
            </w:r>
          </w:p>
        </w:tc>
        <w:tc>
          <w:tcPr>
            <w:tcW w:w="1381" w:type="dxa"/>
          </w:tcPr>
          <w:p w14:paraId="51994F69" w14:textId="3E095578" w:rsidR="000C4943" w:rsidRPr="00ED3FD6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</w:tr>
      <w:tr w:rsidR="000C4943" w:rsidRPr="00ED3FD6" w14:paraId="32351858" w14:textId="77777777" w:rsidTr="00A374CC">
        <w:tc>
          <w:tcPr>
            <w:tcW w:w="1124" w:type="dxa"/>
          </w:tcPr>
          <w:p w14:paraId="646D5CD4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3047" w:type="dxa"/>
          </w:tcPr>
          <w:p w14:paraId="528F2468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Kurzové zisky</w:t>
            </w:r>
          </w:p>
        </w:tc>
        <w:tc>
          <w:tcPr>
            <w:tcW w:w="1693" w:type="dxa"/>
          </w:tcPr>
          <w:p w14:paraId="58748498" w14:textId="17943FF9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29,69</w:t>
            </w:r>
          </w:p>
        </w:tc>
        <w:tc>
          <w:tcPr>
            <w:tcW w:w="1536" w:type="dxa"/>
          </w:tcPr>
          <w:p w14:paraId="090F9AC2" w14:textId="5B593A3C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3,50</w:t>
            </w:r>
          </w:p>
        </w:tc>
        <w:tc>
          <w:tcPr>
            <w:tcW w:w="1381" w:type="dxa"/>
          </w:tcPr>
          <w:p w14:paraId="36B0A84B" w14:textId="2484E4F3" w:rsidR="000C4943" w:rsidRPr="00ED3FD6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0,12</w:t>
            </w:r>
          </w:p>
        </w:tc>
      </w:tr>
      <w:tr w:rsidR="000C4943" w:rsidRPr="00ED3FD6" w14:paraId="2567637F" w14:textId="77777777" w:rsidTr="00A374CC">
        <w:tc>
          <w:tcPr>
            <w:tcW w:w="1124" w:type="dxa"/>
          </w:tcPr>
          <w:p w14:paraId="39F3AC4E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648</w:t>
            </w:r>
          </w:p>
        </w:tc>
        <w:tc>
          <w:tcPr>
            <w:tcW w:w="3047" w:type="dxa"/>
          </w:tcPr>
          <w:p w14:paraId="5425F8FD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Zákonné poplatky</w:t>
            </w:r>
          </w:p>
        </w:tc>
        <w:tc>
          <w:tcPr>
            <w:tcW w:w="1693" w:type="dxa"/>
          </w:tcPr>
          <w:p w14:paraId="4FCDD4C8" w14:textId="2D66EB94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1 676 898,32</w:t>
            </w:r>
          </w:p>
        </w:tc>
        <w:tc>
          <w:tcPr>
            <w:tcW w:w="1536" w:type="dxa"/>
          </w:tcPr>
          <w:p w14:paraId="2668D273" w14:textId="334A7768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1 968 646,87</w:t>
            </w:r>
          </w:p>
        </w:tc>
        <w:tc>
          <w:tcPr>
            <w:tcW w:w="1381" w:type="dxa"/>
          </w:tcPr>
          <w:p w14:paraId="1E5E5ECB" w14:textId="751CB932" w:rsidR="000C4943" w:rsidRPr="00ED3FD6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1,17</w:t>
            </w:r>
          </w:p>
        </w:tc>
      </w:tr>
      <w:tr w:rsidR="000C4943" w:rsidRPr="00ED3FD6" w14:paraId="5A835936" w14:textId="77777777" w:rsidTr="00A374CC">
        <w:tc>
          <w:tcPr>
            <w:tcW w:w="1124" w:type="dxa"/>
          </w:tcPr>
          <w:p w14:paraId="0A60B923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3047" w:type="dxa"/>
          </w:tcPr>
          <w:p w14:paraId="3BAB1775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Iné ostatné výnosy</w:t>
            </w:r>
          </w:p>
        </w:tc>
        <w:tc>
          <w:tcPr>
            <w:tcW w:w="1693" w:type="dxa"/>
          </w:tcPr>
          <w:p w14:paraId="2DAFAFA2" w14:textId="6068687A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451 303,22</w:t>
            </w:r>
          </w:p>
        </w:tc>
        <w:tc>
          <w:tcPr>
            <w:tcW w:w="1536" w:type="dxa"/>
          </w:tcPr>
          <w:p w14:paraId="47F1A24F" w14:textId="3AE7BFDC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94 196,91</w:t>
            </w:r>
          </w:p>
        </w:tc>
        <w:tc>
          <w:tcPr>
            <w:tcW w:w="1381" w:type="dxa"/>
          </w:tcPr>
          <w:p w14:paraId="1BEC7CFB" w14:textId="473EA00F" w:rsidR="000C4943" w:rsidRPr="00ED3FD6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0,21</w:t>
            </w:r>
          </w:p>
        </w:tc>
      </w:tr>
      <w:tr w:rsidR="000C4943" w:rsidRPr="00ED3FD6" w14:paraId="211C76A5" w14:textId="77777777" w:rsidTr="00A374CC">
        <w:tc>
          <w:tcPr>
            <w:tcW w:w="1124" w:type="dxa"/>
          </w:tcPr>
          <w:p w14:paraId="78A48CB0" w14:textId="5FD89FDE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651</w:t>
            </w:r>
          </w:p>
        </w:tc>
        <w:tc>
          <w:tcPr>
            <w:tcW w:w="3047" w:type="dxa"/>
          </w:tcPr>
          <w:p w14:paraId="5BB6473A" w14:textId="3DA730B5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Tržby z predaja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dlh.hm.maj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14:paraId="7AD76FAE" w14:textId="207CF6C0" w:rsidR="000C4943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4 324,17</w:t>
            </w:r>
          </w:p>
        </w:tc>
        <w:tc>
          <w:tcPr>
            <w:tcW w:w="1536" w:type="dxa"/>
          </w:tcPr>
          <w:p w14:paraId="35E470D4" w14:textId="0105905F" w:rsidR="000C4943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4 306,67</w:t>
            </w:r>
          </w:p>
        </w:tc>
        <w:tc>
          <w:tcPr>
            <w:tcW w:w="1381" w:type="dxa"/>
          </w:tcPr>
          <w:p w14:paraId="17C9505B" w14:textId="6493D8B3" w:rsidR="000C4943" w:rsidRPr="00ED3FD6" w:rsidRDefault="00B80627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943">
              <w:rPr>
                <w:rFonts w:asciiTheme="minorHAnsi" w:hAnsiTheme="minorHAnsi" w:cstheme="minorHAnsi"/>
                <w:sz w:val="22"/>
                <w:szCs w:val="22"/>
              </w:rPr>
              <w:t>0,99</w:t>
            </w:r>
          </w:p>
        </w:tc>
      </w:tr>
      <w:tr w:rsidR="000C4943" w:rsidRPr="00ED3FD6" w14:paraId="1393F4B9" w14:textId="77777777" w:rsidTr="00A374CC">
        <w:tc>
          <w:tcPr>
            <w:tcW w:w="1124" w:type="dxa"/>
          </w:tcPr>
          <w:p w14:paraId="3BE3855B" w14:textId="6B398B44" w:rsidR="000C4943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654</w:t>
            </w:r>
          </w:p>
        </w:tc>
        <w:tc>
          <w:tcPr>
            <w:tcW w:w="3047" w:type="dxa"/>
          </w:tcPr>
          <w:p w14:paraId="227FBE51" w14:textId="63B9204D" w:rsidR="000C4943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Tržby z predaja materiálu</w:t>
            </w:r>
          </w:p>
        </w:tc>
        <w:tc>
          <w:tcPr>
            <w:tcW w:w="1693" w:type="dxa"/>
          </w:tcPr>
          <w:p w14:paraId="19B4DD21" w14:textId="7512E2D6" w:rsidR="000C4943" w:rsidRDefault="000C4943" w:rsidP="000C49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2 228,32</w:t>
            </w:r>
          </w:p>
        </w:tc>
        <w:tc>
          <w:tcPr>
            <w:tcW w:w="1536" w:type="dxa"/>
          </w:tcPr>
          <w:p w14:paraId="4A93FB34" w14:textId="297B21BA" w:rsidR="000C4943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32,16</w:t>
            </w:r>
          </w:p>
        </w:tc>
        <w:tc>
          <w:tcPr>
            <w:tcW w:w="1381" w:type="dxa"/>
          </w:tcPr>
          <w:p w14:paraId="2A18C6EB" w14:textId="79C6722B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0,01</w:t>
            </w:r>
          </w:p>
        </w:tc>
      </w:tr>
      <w:bookmarkEnd w:id="3"/>
      <w:tr w:rsidR="000C4943" w:rsidRPr="00ED3FD6" w14:paraId="4EAB614F" w14:textId="77777777" w:rsidTr="00A374CC">
        <w:tc>
          <w:tcPr>
            <w:tcW w:w="1124" w:type="dxa"/>
          </w:tcPr>
          <w:p w14:paraId="15FD4649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656</w:t>
            </w:r>
          </w:p>
        </w:tc>
        <w:tc>
          <w:tcPr>
            <w:tcW w:w="3047" w:type="dxa"/>
          </w:tcPr>
          <w:p w14:paraId="307E23FB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použitia fondu</w:t>
            </w:r>
          </w:p>
        </w:tc>
        <w:tc>
          <w:tcPr>
            <w:tcW w:w="1693" w:type="dxa"/>
          </w:tcPr>
          <w:p w14:paraId="72371645" w14:textId="709529B2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169 914,96</w:t>
            </w:r>
          </w:p>
        </w:tc>
        <w:tc>
          <w:tcPr>
            <w:tcW w:w="1536" w:type="dxa"/>
          </w:tcPr>
          <w:p w14:paraId="465E36D9" w14:textId="741342B9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183 044,32</w:t>
            </w:r>
          </w:p>
        </w:tc>
        <w:tc>
          <w:tcPr>
            <w:tcW w:w="1381" w:type="dxa"/>
          </w:tcPr>
          <w:p w14:paraId="276AFE52" w14:textId="6007A86F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1,08</w:t>
            </w:r>
          </w:p>
        </w:tc>
      </w:tr>
      <w:tr w:rsidR="000C4943" w:rsidRPr="00ED3FD6" w14:paraId="6F08D7D2" w14:textId="77777777" w:rsidTr="00A374CC">
        <w:tc>
          <w:tcPr>
            <w:tcW w:w="1124" w:type="dxa"/>
          </w:tcPr>
          <w:p w14:paraId="1FC10585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658</w:t>
            </w:r>
          </w:p>
        </w:tc>
        <w:tc>
          <w:tcPr>
            <w:tcW w:w="3047" w:type="dxa"/>
          </w:tcPr>
          <w:p w14:paraId="4AFD6F6C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prenájmu majetku</w:t>
            </w:r>
          </w:p>
        </w:tc>
        <w:tc>
          <w:tcPr>
            <w:tcW w:w="1693" w:type="dxa"/>
          </w:tcPr>
          <w:p w14:paraId="77A84D3C" w14:textId="256D788B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31 896,44</w:t>
            </w:r>
          </w:p>
        </w:tc>
        <w:tc>
          <w:tcPr>
            <w:tcW w:w="1536" w:type="dxa"/>
          </w:tcPr>
          <w:p w14:paraId="0EA7F02F" w14:textId="2AECD124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48 342,00</w:t>
            </w:r>
          </w:p>
        </w:tc>
        <w:tc>
          <w:tcPr>
            <w:tcW w:w="1381" w:type="dxa"/>
          </w:tcPr>
          <w:p w14:paraId="5BB5F870" w14:textId="4CC3B54D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1,52</w:t>
            </w:r>
          </w:p>
        </w:tc>
      </w:tr>
      <w:tr w:rsidR="000C4943" w:rsidRPr="00ED3FD6" w14:paraId="1AB32310" w14:textId="77777777" w:rsidTr="00A374CC">
        <w:tc>
          <w:tcPr>
            <w:tcW w:w="1124" w:type="dxa"/>
          </w:tcPr>
          <w:p w14:paraId="414C8C26" w14:textId="77777777" w:rsidR="000C4943" w:rsidRPr="00ED3FD6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691</w:t>
            </w:r>
          </w:p>
        </w:tc>
        <w:tc>
          <w:tcPr>
            <w:tcW w:w="3047" w:type="dxa"/>
          </w:tcPr>
          <w:p w14:paraId="30A96732" w14:textId="77777777" w:rsidR="000C4943" w:rsidRPr="00ED3FD6" w:rsidRDefault="000C4943" w:rsidP="000C4943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Dotácie</w:t>
            </w:r>
          </w:p>
        </w:tc>
        <w:tc>
          <w:tcPr>
            <w:tcW w:w="1693" w:type="dxa"/>
          </w:tcPr>
          <w:p w14:paraId="6DE8B763" w14:textId="73B62F1B" w:rsidR="000C4943" w:rsidRPr="00ED3FD6" w:rsidRDefault="000C4943" w:rsidP="000C4943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18 719 292,28</w:t>
            </w:r>
          </w:p>
        </w:tc>
        <w:tc>
          <w:tcPr>
            <w:tcW w:w="1536" w:type="dxa"/>
          </w:tcPr>
          <w:p w14:paraId="13D04315" w14:textId="10F14CAE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22 017 619,79</w:t>
            </w:r>
          </w:p>
        </w:tc>
        <w:tc>
          <w:tcPr>
            <w:tcW w:w="1381" w:type="dxa"/>
          </w:tcPr>
          <w:p w14:paraId="37AA48AF" w14:textId="5FE929F2" w:rsidR="000C4943" w:rsidRPr="00ED3FD6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1,18</w:t>
            </w:r>
          </w:p>
        </w:tc>
      </w:tr>
      <w:tr w:rsidR="000C4943" w:rsidRPr="00ED3FD6" w14:paraId="7C540365" w14:textId="77777777" w:rsidTr="00A374CC">
        <w:tc>
          <w:tcPr>
            <w:tcW w:w="1124" w:type="dxa"/>
            <w:shd w:val="clear" w:color="auto" w:fill="D9D9D9" w:themeFill="background1" w:themeFillShade="D9"/>
          </w:tcPr>
          <w:p w14:paraId="6554ED35" w14:textId="77777777" w:rsidR="000C4943" w:rsidRPr="00B41278" w:rsidRDefault="000C4943" w:rsidP="000C4943">
            <w:pPr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Theme="minorHAnsi" w:hAnsiTheme="minorHAnsi" w:cs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061D06A4" w14:textId="77777777" w:rsidR="000C4943" w:rsidRPr="00B41278" w:rsidRDefault="000C4943" w:rsidP="000C4943">
            <w:pPr>
              <w:ind w:right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29462C6" w14:textId="2F3A0B02" w:rsidR="000C4943" w:rsidRPr="00B41278" w:rsidRDefault="000C4943" w:rsidP="000C49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21 588 482,47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319E0B51" w14:textId="0E77143D" w:rsidR="000C4943" w:rsidRPr="00B41278" w:rsidRDefault="000C4943" w:rsidP="000C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24 827 605,38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1724DD8C" w14:textId="3D705316" w:rsidR="000C4943" w:rsidRPr="00B41278" w:rsidRDefault="000C4943" w:rsidP="000C4943">
            <w:pPr>
              <w:ind w:right="5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1,15</w:t>
            </w:r>
          </w:p>
        </w:tc>
      </w:tr>
    </w:tbl>
    <w:p w14:paraId="3E133B18" w14:textId="77777777" w:rsidR="00A374CC" w:rsidRPr="00D61BB0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2CED5DF" w14:textId="26F638EB" w:rsidR="00A374CC" w:rsidRDefault="00A374CC" w:rsidP="00A374CC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sz w:val="22"/>
          <w:szCs w:val="22"/>
        </w:rPr>
      </w:pPr>
      <w:r w:rsidRPr="00096D4A">
        <w:rPr>
          <w:rFonts w:asciiTheme="minorHAnsi" w:hAnsiTheme="minorHAnsi" w:cstheme="minorHAnsi"/>
          <w:sz w:val="22"/>
          <w:szCs w:val="22"/>
        </w:rPr>
        <w:t xml:space="preserve">Celkový medziročný nárast výnosov </w:t>
      </w:r>
      <w:r>
        <w:rPr>
          <w:rFonts w:asciiTheme="minorHAnsi" w:hAnsiTheme="minorHAnsi" w:cstheme="minorHAnsi"/>
          <w:sz w:val="22"/>
          <w:szCs w:val="22"/>
        </w:rPr>
        <w:t xml:space="preserve">za TU v Trnave </w:t>
      </w:r>
      <w:r w:rsidRPr="00096D4A">
        <w:rPr>
          <w:rFonts w:asciiTheme="minorHAnsi" w:hAnsiTheme="minorHAnsi" w:cstheme="minorHAnsi"/>
          <w:sz w:val="22"/>
          <w:szCs w:val="22"/>
        </w:rPr>
        <w:t xml:space="preserve">bol zaznamenaný vo výške </w:t>
      </w:r>
      <w:r w:rsidR="00C31A34">
        <w:rPr>
          <w:rFonts w:asciiTheme="minorHAnsi" w:hAnsiTheme="minorHAnsi" w:cstheme="minorHAnsi"/>
          <w:sz w:val="22"/>
          <w:szCs w:val="22"/>
        </w:rPr>
        <w:t>3 239 122,91</w:t>
      </w:r>
      <w:r w:rsidR="008600BC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="008600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600BC">
        <w:rPr>
          <w:rFonts w:asciiTheme="minorHAnsi" w:hAnsiTheme="minorHAnsi" w:cstheme="minorHAnsi"/>
          <w:sz w:val="22"/>
          <w:szCs w:val="22"/>
        </w:rPr>
        <w:t xml:space="preserve">. </w:t>
      </w:r>
      <w:r w:rsidR="00B80627">
        <w:rPr>
          <w:rFonts w:asciiTheme="minorHAnsi" w:hAnsiTheme="minorHAnsi" w:cstheme="minorHAnsi"/>
          <w:sz w:val="22"/>
          <w:szCs w:val="22"/>
        </w:rPr>
        <w:t xml:space="preserve">o </w:t>
      </w:r>
      <w:r w:rsidR="00C31A34">
        <w:rPr>
          <w:rFonts w:asciiTheme="minorHAnsi" w:hAnsiTheme="minorHAnsi" w:cstheme="minorHAnsi"/>
          <w:sz w:val="22"/>
          <w:szCs w:val="22"/>
        </w:rPr>
        <w:t>15</w:t>
      </w:r>
      <w:r w:rsidRPr="00096D4A">
        <w:rPr>
          <w:rFonts w:asciiTheme="minorHAnsi" w:hAnsiTheme="minorHAnsi" w:cstheme="minorHAnsi"/>
          <w:sz w:val="22"/>
          <w:szCs w:val="22"/>
        </w:rPr>
        <w:t xml:space="preserve"> % (tabuľka A).</w:t>
      </w:r>
    </w:p>
    <w:p w14:paraId="53EF90CC" w14:textId="3B41F69B" w:rsidR="00A374CC" w:rsidRDefault="008A6D1A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Takmer v</w:t>
      </w:r>
      <w:r w:rsidR="00A836CC">
        <w:rPr>
          <w:rFonts w:asciiTheme="minorHAnsi" w:hAnsiTheme="minorHAnsi" w:cstheme="minorHAnsi"/>
          <w:sz w:val="22"/>
          <w:szCs w:val="22"/>
        </w:rPr>
        <w:t>o</w:t>
      </w:r>
      <w:r w:rsidR="00A374CC">
        <w:rPr>
          <w:rFonts w:asciiTheme="minorHAnsi" w:hAnsiTheme="minorHAnsi" w:cstheme="minorHAnsi"/>
          <w:sz w:val="22"/>
          <w:szCs w:val="22"/>
        </w:rPr>
        <w:t> </w:t>
      </w:r>
      <w:r w:rsidR="00A836CC">
        <w:rPr>
          <w:rFonts w:asciiTheme="minorHAnsi" w:hAnsiTheme="minorHAnsi" w:cstheme="minorHAnsi"/>
          <w:sz w:val="22"/>
          <w:szCs w:val="22"/>
        </w:rPr>
        <w:t>všetkých</w:t>
      </w:r>
      <w:r w:rsidR="00A374CC">
        <w:rPr>
          <w:rFonts w:asciiTheme="minorHAnsi" w:hAnsiTheme="minorHAnsi" w:cstheme="minorHAnsi"/>
          <w:sz w:val="22"/>
          <w:szCs w:val="22"/>
        </w:rPr>
        <w:t xml:space="preserve"> výnosových položkách bol zaznamenaný nárast</w:t>
      </w:r>
      <w:r w:rsidR="00A836CC">
        <w:rPr>
          <w:rFonts w:asciiTheme="minorHAnsi" w:hAnsiTheme="minorHAnsi" w:cstheme="minorHAnsi"/>
          <w:sz w:val="22"/>
          <w:szCs w:val="22"/>
        </w:rPr>
        <w:t>.</w:t>
      </w:r>
      <w:r w:rsidR="00A374CC">
        <w:rPr>
          <w:rFonts w:asciiTheme="minorHAnsi" w:hAnsiTheme="minorHAnsi" w:cstheme="minorHAnsi"/>
          <w:sz w:val="22"/>
          <w:szCs w:val="22"/>
        </w:rPr>
        <w:t xml:space="preserve"> </w:t>
      </w:r>
      <w:r w:rsidR="00F60F77">
        <w:rPr>
          <w:rFonts w:asciiTheme="minorHAnsi" w:hAnsiTheme="minorHAnsi" w:cstheme="minorHAnsi"/>
          <w:sz w:val="22"/>
          <w:szCs w:val="22"/>
        </w:rPr>
        <w:t xml:space="preserve">Najvyšší </w:t>
      </w:r>
      <w:r w:rsidR="00F60F77" w:rsidRPr="00F60F77">
        <w:rPr>
          <w:rFonts w:asciiTheme="minorHAnsi" w:hAnsiTheme="minorHAnsi" w:cstheme="minorHAnsi"/>
          <w:b/>
          <w:sz w:val="22"/>
          <w:szCs w:val="22"/>
        </w:rPr>
        <w:t>n</w:t>
      </w:r>
      <w:r w:rsidR="00A374CC" w:rsidRPr="00F60F77">
        <w:rPr>
          <w:rFonts w:asciiTheme="minorHAnsi" w:hAnsiTheme="minorHAnsi" w:cstheme="minorHAnsi"/>
          <w:b/>
          <w:sz w:val="22"/>
          <w:szCs w:val="22"/>
        </w:rPr>
        <w:t>árast</w:t>
      </w:r>
      <w:r w:rsidR="00A374CC" w:rsidRPr="000922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4CC">
        <w:rPr>
          <w:rFonts w:asciiTheme="minorHAnsi" w:hAnsiTheme="minorHAnsi" w:cstheme="minorHAnsi"/>
          <w:sz w:val="22"/>
          <w:szCs w:val="22"/>
        </w:rPr>
        <w:t>v absolútnych číslach nastal u týchto výnosových skupín:</w:t>
      </w:r>
    </w:p>
    <w:p w14:paraId="7E3A4F1C" w14:textId="7DBA098B" w:rsidR="00C410A9" w:rsidRDefault="00C410A9" w:rsidP="00C410A9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1D47">
        <w:rPr>
          <w:rFonts w:asciiTheme="minorHAnsi" w:hAnsiTheme="minorHAnsi" w:cstheme="minorHAnsi"/>
          <w:sz w:val="22"/>
          <w:szCs w:val="22"/>
        </w:rPr>
        <w:t>648</w:t>
      </w:r>
      <w:r w:rsidRPr="00224247">
        <w:rPr>
          <w:rFonts w:asciiTheme="minorHAnsi" w:hAnsiTheme="minorHAnsi" w:cstheme="minorHAnsi"/>
          <w:sz w:val="22"/>
          <w:szCs w:val="22"/>
        </w:rPr>
        <w:t xml:space="preserve"> – Zákonné poplatky</w:t>
      </w:r>
      <w:r>
        <w:rPr>
          <w:rFonts w:asciiTheme="minorHAnsi" w:hAnsiTheme="minorHAnsi" w:cstheme="minorHAnsi"/>
          <w:sz w:val="22"/>
          <w:szCs w:val="22"/>
        </w:rPr>
        <w:t xml:space="preserve"> – nárast o</w:t>
      </w:r>
      <w:r w:rsidR="00C31A34">
        <w:rPr>
          <w:rFonts w:asciiTheme="minorHAnsi" w:hAnsiTheme="minorHAnsi" w:cstheme="minorHAnsi"/>
          <w:sz w:val="22"/>
          <w:szCs w:val="22"/>
        </w:rPr>
        <w:t> 291 748,55</w:t>
      </w:r>
      <w:r w:rsidRPr="00224247"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>. o</w:t>
      </w:r>
      <w:r w:rsidR="00C31A34">
        <w:rPr>
          <w:rFonts w:asciiTheme="minorHAnsi" w:hAnsiTheme="minorHAnsi" w:cstheme="minorHAnsi"/>
          <w:sz w:val="22"/>
          <w:szCs w:val="22"/>
        </w:rPr>
        <w:t> 17,40</w:t>
      </w:r>
      <w:r w:rsidRPr="00224247">
        <w:rPr>
          <w:rFonts w:asciiTheme="minorHAnsi" w:hAnsiTheme="minorHAnsi" w:cstheme="minorHAnsi"/>
          <w:sz w:val="22"/>
          <w:szCs w:val="22"/>
        </w:rPr>
        <w:t xml:space="preserve"> % (školné za prekročenie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štandartnej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dĺžky štúdia, školné od externých študentov,  školné od cudzincov, poplatky za prijí</w:t>
      </w:r>
      <w:r w:rsidR="00472E7D">
        <w:rPr>
          <w:rFonts w:asciiTheme="minorHAnsi" w:hAnsiTheme="minorHAnsi" w:cstheme="minorHAnsi"/>
          <w:sz w:val="22"/>
          <w:szCs w:val="22"/>
        </w:rPr>
        <w:t>m</w:t>
      </w:r>
      <w:r w:rsidRPr="00224247">
        <w:rPr>
          <w:rFonts w:asciiTheme="minorHAnsi" w:hAnsiTheme="minorHAnsi" w:cstheme="minorHAnsi"/>
          <w:sz w:val="22"/>
          <w:szCs w:val="22"/>
        </w:rPr>
        <w:t xml:space="preserve">acie konanie, poplatky za rigorózne konanie, poplatky za vydanie dokladu o štúdiu, poplatky za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ďalsie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vzdelávanie). Rozpísané  v poznámkach k účtovnej závierke, str. 1</w:t>
      </w:r>
      <w:r w:rsidR="00A56C4F">
        <w:rPr>
          <w:rFonts w:asciiTheme="minorHAnsi" w:hAnsiTheme="minorHAnsi" w:cstheme="minorHAnsi"/>
          <w:sz w:val="22"/>
          <w:szCs w:val="22"/>
        </w:rPr>
        <w:t>4</w:t>
      </w:r>
      <w:r w:rsidRPr="00224247">
        <w:rPr>
          <w:rFonts w:asciiTheme="minorHAnsi" w:hAnsiTheme="minorHAnsi" w:cstheme="minorHAnsi"/>
          <w:sz w:val="22"/>
          <w:szCs w:val="22"/>
        </w:rPr>
        <w:t>.</w:t>
      </w:r>
    </w:p>
    <w:p w14:paraId="2892B236" w14:textId="28483007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691 – Dotácie – nárast o</w:t>
      </w:r>
      <w:r w:rsidR="00C31A34">
        <w:rPr>
          <w:rFonts w:asciiTheme="minorHAnsi" w:hAnsiTheme="minorHAnsi" w:cstheme="minorHAnsi"/>
          <w:sz w:val="22"/>
          <w:szCs w:val="22"/>
        </w:rPr>
        <w:t> 3 298 327,51</w:t>
      </w:r>
      <w:r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92292">
        <w:rPr>
          <w:rFonts w:asciiTheme="minorHAnsi" w:hAnsiTheme="minorHAnsi" w:cstheme="minorHAnsi"/>
          <w:sz w:val="22"/>
          <w:szCs w:val="22"/>
        </w:rPr>
        <w:t>o</w:t>
      </w:r>
      <w:r w:rsidR="00A56C4F">
        <w:rPr>
          <w:rFonts w:asciiTheme="minorHAnsi" w:hAnsiTheme="minorHAnsi" w:cstheme="minorHAnsi"/>
          <w:sz w:val="22"/>
          <w:szCs w:val="22"/>
        </w:rPr>
        <w:t> 1</w:t>
      </w:r>
      <w:r w:rsidR="00C31A34">
        <w:rPr>
          <w:rFonts w:asciiTheme="minorHAnsi" w:hAnsiTheme="minorHAnsi" w:cstheme="minorHAnsi"/>
          <w:sz w:val="22"/>
          <w:szCs w:val="22"/>
        </w:rPr>
        <w:t>7</w:t>
      </w:r>
      <w:r w:rsidR="00A56C4F">
        <w:rPr>
          <w:rFonts w:asciiTheme="minorHAnsi" w:hAnsiTheme="minorHAnsi" w:cstheme="minorHAnsi"/>
          <w:sz w:val="22"/>
          <w:szCs w:val="22"/>
        </w:rPr>
        <w:t>,</w:t>
      </w:r>
      <w:r w:rsidR="00C31A34">
        <w:rPr>
          <w:rFonts w:asciiTheme="minorHAnsi" w:hAnsiTheme="minorHAnsi" w:cstheme="minorHAnsi"/>
          <w:sz w:val="22"/>
          <w:szCs w:val="22"/>
        </w:rPr>
        <w:t>62</w:t>
      </w:r>
      <w:r w:rsidRPr="00092292">
        <w:rPr>
          <w:rFonts w:asciiTheme="minorHAnsi" w:hAnsiTheme="minorHAnsi" w:cstheme="minorHAnsi"/>
          <w:sz w:val="22"/>
          <w:szCs w:val="22"/>
        </w:rPr>
        <w:t xml:space="preserve"> % </w:t>
      </w:r>
      <w:r w:rsidRPr="007633DD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(nárast dotácie,</w:t>
      </w:r>
      <w:r>
        <w:rPr>
          <w:rFonts w:asciiTheme="minorHAnsi" w:hAnsiTheme="minorHAnsi" w:cstheme="minorHAnsi"/>
          <w:sz w:val="22"/>
          <w:szCs w:val="22"/>
        </w:rPr>
        <w:t xml:space="preserve"> časové rozlíšenie výnosov).</w:t>
      </w:r>
    </w:p>
    <w:p w14:paraId="7A7B30D9" w14:textId="63DBAD64" w:rsidR="00A374CC" w:rsidRDefault="00A56C4F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</w:t>
      </w:r>
      <w:r w:rsidR="000B3FBA">
        <w:rPr>
          <w:rFonts w:asciiTheme="minorHAnsi" w:hAnsiTheme="minorHAnsi" w:cstheme="minorHAnsi"/>
          <w:sz w:val="22"/>
          <w:szCs w:val="22"/>
        </w:rPr>
        <w:t>8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– </w:t>
      </w:r>
      <w:r w:rsidR="000B3FBA">
        <w:rPr>
          <w:rFonts w:asciiTheme="minorHAnsi" w:hAnsiTheme="minorHAnsi" w:cstheme="minorHAnsi"/>
          <w:sz w:val="22"/>
          <w:szCs w:val="22"/>
        </w:rPr>
        <w:t>Výnosy z prenájmu majetku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– </w:t>
      </w:r>
      <w:r w:rsidR="00574A37">
        <w:rPr>
          <w:rFonts w:asciiTheme="minorHAnsi" w:hAnsiTheme="minorHAnsi" w:cstheme="minorHAnsi"/>
          <w:sz w:val="22"/>
          <w:szCs w:val="22"/>
        </w:rPr>
        <w:t>nárast o</w:t>
      </w:r>
      <w:r w:rsidR="000B3FBA">
        <w:rPr>
          <w:rFonts w:asciiTheme="minorHAnsi" w:hAnsiTheme="minorHAnsi" w:cstheme="minorHAnsi"/>
          <w:sz w:val="22"/>
          <w:szCs w:val="22"/>
        </w:rPr>
        <w:t> 16 445,56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Eur, t. j o</w:t>
      </w:r>
      <w:r w:rsidR="000B3FBA">
        <w:rPr>
          <w:rFonts w:asciiTheme="minorHAnsi" w:hAnsiTheme="minorHAnsi" w:cstheme="minorHAnsi"/>
          <w:sz w:val="22"/>
          <w:szCs w:val="22"/>
        </w:rPr>
        <w:t> 51,56</w:t>
      </w:r>
      <w:r w:rsidR="00A374CC" w:rsidRPr="00574A37">
        <w:rPr>
          <w:rFonts w:asciiTheme="minorHAnsi" w:hAnsiTheme="minorHAnsi" w:cstheme="minorHAnsi"/>
          <w:sz w:val="22"/>
          <w:szCs w:val="22"/>
        </w:rPr>
        <w:t xml:space="preserve"> % </w:t>
      </w:r>
      <w:r w:rsidR="00A757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97B5C2" w14:textId="7B45E568" w:rsidR="00B80627" w:rsidRDefault="00B80627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Najvyšší pokles bol zaznamenaný v tejto výnosovej skupine:</w:t>
      </w:r>
    </w:p>
    <w:p w14:paraId="6B6653FC" w14:textId="77777777" w:rsidR="00B80627" w:rsidRPr="001B4E1B" w:rsidRDefault="00B80627" w:rsidP="00B80627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649 – Iné ostatné výnosy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pokles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 357 106,31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79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Zníženie nastalo zmenou účtovania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projektov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základe postupov účtovania.</w:t>
      </w:r>
    </w:p>
    <w:p w14:paraId="5E893B2A" w14:textId="77777777" w:rsidR="00B80627" w:rsidRPr="00574A37" w:rsidRDefault="00B80627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298B1B66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47C2EC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B      Náklady TU v Trnave za hlavnú činnosť a podnikateľskú činnosť (v Eur)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60"/>
        <w:gridCol w:w="1691"/>
        <w:gridCol w:w="1559"/>
        <w:gridCol w:w="1450"/>
      </w:tblGrid>
      <w:tr w:rsidR="00A374CC" w:rsidRPr="00EE5839" w14:paraId="4007115A" w14:textId="77777777" w:rsidTr="00A374C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0DA7C2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E99704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53509E" w14:textId="1998647D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0B3F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880E8" w14:textId="58201C59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 w:rsidR="000B3F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86375F" w14:textId="081C8446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0B3F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0B3F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0B3FBA" w:rsidRPr="00EE5839" w14:paraId="665EDA0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B5D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E8B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E25C" w14:textId="4C290EFF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712 360,38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AF2E" w14:textId="12F24907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573 654,83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D52" w14:textId="741887C6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0,81</w:t>
            </w:r>
          </w:p>
        </w:tc>
      </w:tr>
      <w:tr w:rsidR="000B3FBA" w:rsidRPr="00EE5839" w14:paraId="367ED48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FDD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DE6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A783" w14:textId="5E3132D6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732 287,12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26F3" w14:textId="6D331BCB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380 870,74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3ABA" w14:textId="43B5AC32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0,52</w:t>
            </w:r>
          </w:p>
        </w:tc>
      </w:tr>
      <w:tr w:rsidR="000B3FBA" w:rsidRPr="00EE5839" w14:paraId="04EAC859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D0A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DFB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7564" w14:textId="207832A8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15 604,09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4170" w14:textId="0158C28A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45 034,70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3CC" w14:textId="34000F53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2,89</w:t>
            </w:r>
          </w:p>
        </w:tc>
      </w:tr>
      <w:tr w:rsidR="000B3FBA" w:rsidRPr="00EE5839" w14:paraId="6F3A8D1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CA3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CCC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70F2" w14:textId="3E3C149F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155 061,64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CEA8" w14:textId="534F7E7A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110 061,42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B53B" w14:textId="329F69D2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0,71</w:t>
            </w:r>
          </w:p>
        </w:tc>
      </w:tr>
      <w:tr w:rsidR="000B3FBA" w:rsidRPr="00EE5839" w14:paraId="4AC3C86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ACE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8B2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4F8F" w14:textId="21EFFD71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309 430,59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F1F3" w14:textId="798CA90A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293 682,88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B850" w14:textId="6CB8D99F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0,95</w:t>
            </w:r>
          </w:p>
        </w:tc>
      </w:tr>
      <w:tr w:rsidR="000B3FBA" w:rsidRPr="00EE5839" w14:paraId="174C8DF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9B1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DF0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0CF1" w14:textId="0EDA9E30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74 658,16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6406" w14:textId="178DA1AF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98 002,74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85C" w14:textId="6C0FE081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1,31</w:t>
            </w:r>
          </w:p>
        </w:tc>
      </w:tr>
      <w:tr w:rsidR="000B3FBA" w:rsidRPr="00EE5839" w14:paraId="4EB62AC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375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376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7556" w14:textId="73F34B83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1 468 664,33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1F3" w14:textId="1A3C3ED7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1 340 784,03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6979" w14:textId="050222F7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0,91</w:t>
            </w:r>
          </w:p>
        </w:tc>
      </w:tr>
      <w:tr w:rsidR="000B3FBA" w:rsidRPr="00EE5839" w14:paraId="6205D0B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295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C81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EA8D" w14:textId="57A4C3A5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11 366 455,62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0D52" w14:textId="0ED8122E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11 994 262,92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E46C" w14:textId="1BA7DC83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1,06</w:t>
            </w:r>
          </w:p>
        </w:tc>
      </w:tr>
      <w:tr w:rsidR="000B3FBA" w:rsidRPr="00EE5839" w14:paraId="2C84359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8EA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7D5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zdr</w:t>
            </w:r>
            <w:proofErr w:type="spellEnd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B384" w14:textId="66F26FE0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3 887 667,67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A054" w14:textId="735F68C8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4 264 545,34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408" w14:textId="379D2087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1,10</w:t>
            </w:r>
          </w:p>
        </w:tc>
      </w:tr>
      <w:tr w:rsidR="000B3FBA" w:rsidRPr="00EE5839" w14:paraId="22200EB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8A6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8BA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C482" w14:textId="7DBAC388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47 559,40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A2B1" w14:textId="7690F253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109 779,48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6B2" w14:textId="7BFC9194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2,31</w:t>
            </w:r>
          </w:p>
        </w:tc>
      </w:tr>
      <w:tr w:rsidR="000B3FBA" w:rsidRPr="00EE5839" w14:paraId="790DFBE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02B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4FA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8F1C" w14:textId="00EC2C79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517 344,25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32A3" w14:textId="479BCCB2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582 745,98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EA8" w14:textId="027410C3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1,13</w:t>
            </w:r>
          </w:p>
        </w:tc>
      </w:tr>
      <w:tr w:rsidR="000B3FBA" w:rsidRPr="00EE5839" w14:paraId="451BCCB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F30" w14:textId="5C84589E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5912" w14:textId="71F6075D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Ostatné sociálne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nákladxy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B8D7" w14:textId="7F72DF5E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FDDF" w14:textId="3F08A041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5842" w14:textId="59919942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0B3FBA" w:rsidRPr="00EE5839" w14:paraId="3613FF6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A5E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A76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Daň z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nehnuteľnosti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3130" w14:textId="74F008F1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2 931,29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F3DA" w14:textId="0501F691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2 974,21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DE0" w14:textId="67B30CA1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1,01</w:t>
            </w:r>
          </w:p>
        </w:tc>
      </w:tr>
      <w:tr w:rsidR="000B3FBA" w:rsidRPr="00EE5839" w14:paraId="704006A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79B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975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804E" w14:textId="28C89B9B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37 274,80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004" w14:textId="4C2DB0DC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48 796,42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7EF" w14:textId="337191CE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1,31</w:t>
            </w:r>
          </w:p>
        </w:tc>
      </w:tr>
      <w:tr w:rsidR="000B3FBA" w:rsidRPr="00EE5839" w14:paraId="520CD5B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64B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75F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8F1B" w14:textId="14EBB370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F678" w14:textId="314DC70B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93,88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682" w14:textId="7A8C50E5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0B3FBA" w:rsidRPr="00EE5839" w14:paraId="10A3585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78B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D15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7373" w14:textId="568C6435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639,10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DEF" w14:textId="5AB32A63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974,84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46A" w14:textId="398CC24D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1,53</w:t>
            </w:r>
          </w:p>
        </w:tc>
      </w:tr>
      <w:tr w:rsidR="000B3FBA" w:rsidRPr="00EE5839" w14:paraId="1BA0832C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C9BF" w14:textId="70DBF4DD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43B4" w14:textId="45F45A7A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Dary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DBF" w14:textId="62ED2C81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84CF" w14:textId="266DFCD2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CBE" w14:textId="2B6266FA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0B3FBA" w:rsidRPr="00EE5839" w14:paraId="72FCE61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04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93D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6B81" w14:textId="3FD1363E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195 619,26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259B" w14:textId="41DF4E4E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258 722,84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AF6" w14:textId="60219557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1,32</w:t>
            </w:r>
          </w:p>
        </w:tc>
      </w:tr>
      <w:tr w:rsidR="000B3FBA" w:rsidRPr="00EE5839" w14:paraId="0F761D8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494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9D7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Manká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škody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C27C" w14:textId="581AB925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DFAB" w14:textId="49DE1BDF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518,50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8E0C" w14:textId="05341473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35,81</w:t>
            </w:r>
          </w:p>
        </w:tc>
      </w:tr>
      <w:tr w:rsidR="000B3FBA" w:rsidRPr="00EE5839" w14:paraId="73E6C3F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718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A2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DAA" w14:textId="143DAB5E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902 975,00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E37E" w14:textId="53E932C6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1 210 572,83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F5B" w14:textId="7D40900D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1,34</w:t>
            </w:r>
          </w:p>
        </w:tc>
      </w:tr>
      <w:tr w:rsidR="000B3FBA" w:rsidRPr="00EE5839" w14:paraId="6D717E5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53D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C8F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Odpisy DNM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DHM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961F" w14:textId="1CE3F058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1 134 167,87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D144" w14:textId="1E12FE7D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1 184 780,43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0BC6" w14:textId="226A28D5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0B3FBA" w:rsidRPr="00EE5839" w14:paraId="6F648F17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8C81" w14:textId="39A13C72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F8B9" w14:textId="1F473F0B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Predaný materiál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8C19" w14:textId="6F882679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2 205,95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9272" w14:textId="59B9B449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E074" w14:textId="0A0DDD2B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0B3FBA" w:rsidRPr="00EE5839" w14:paraId="11B655FC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65C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9F3" w14:textId="77777777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A03" w14:textId="5538ED3C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815 446,85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9CF2" w14:textId="1F6EFC1B" w:rsidR="000B3FBA" w:rsidRPr="00EE5839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972 844,46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12B" w14:textId="1DC6B499" w:rsidR="000B3FBA" w:rsidRPr="00EE5839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1,19</w:t>
            </w:r>
          </w:p>
        </w:tc>
      </w:tr>
      <w:tr w:rsidR="000B3FBA" w:rsidRPr="00EE5839" w14:paraId="1E78CD0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F53A" w14:textId="1B50954A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8C22" w14:textId="16E83D52" w:rsidR="000B3FBA" w:rsidRPr="00EE5839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opravných položiek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DAEE" w14:textId="03F20B9D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A97D" w14:textId="7FCA5B77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FC3" w14:textId="34918851" w:rsidR="000B3FBA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0B3FBA" w:rsidRPr="00EE5839" w14:paraId="60D4DC84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A9AC" w14:textId="045B8F4F" w:rsidR="000B3FBA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2971" w14:textId="1BF39CC5" w:rsidR="000B3FBA" w:rsidRDefault="000B3FBA" w:rsidP="000B3FB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Poskytnuté príspevky iným ÚJ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9491" w14:textId="77B44054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4137" w14:textId="564C2F46" w:rsidR="000B3FBA" w:rsidRDefault="000B3FBA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13 210,64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99D8" w14:textId="52F39141" w:rsidR="000B3FBA" w:rsidRDefault="0090403D" w:rsidP="000B3F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200,16</w:t>
            </w:r>
          </w:p>
        </w:tc>
      </w:tr>
      <w:tr w:rsidR="000B3FBA" w:rsidRPr="00EE5839" w14:paraId="7668D592" w14:textId="77777777" w:rsidTr="007314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D65AA" w14:textId="77777777" w:rsidR="000B3FBA" w:rsidRPr="00EE5839" w:rsidRDefault="000B3FBA" w:rsidP="000B3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1D850" w14:textId="77777777" w:rsidR="000B3FBA" w:rsidRPr="00EE5839" w:rsidRDefault="000B3FBA" w:rsidP="000B3F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D45FB0" w14:textId="5914BC7E" w:rsidR="000B3FBA" w:rsidRPr="00EE5839" w:rsidRDefault="000B3FBA" w:rsidP="000B3F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22 380 281,65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67A8B1" w14:textId="20200218" w:rsidR="000B3FBA" w:rsidRPr="00EE5839" w:rsidRDefault="000B3FBA" w:rsidP="000B3F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23 486 914,11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BF929F" w14:textId="006CAFAA" w:rsidR="000B3FBA" w:rsidRPr="00EE5839" w:rsidRDefault="0090403D" w:rsidP="000B3F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1,05</w:t>
            </w:r>
          </w:p>
        </w:tc>
      </w:tr>
    </w:tbl>
    <w:p w14:paraId="2ED62CE3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6984DB33" w14:textId="4432FA85" w:rsidR="00A374CC" w:rsidRPr="00120EB4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Celkové náklady za  TU v Trnave za hlavnú a podnikateľskú činnosť </w:t>
      </w:r>
      <w:r>
        <w:rPr>
          <w:rFonts w:asciiTheme="minorHAnsi" w:hAnsiTheme="minorHAnsi" w:cstheme="minorHAnsi"/>
          <w:sz w:val="22"/>
          <w:szCs w:val="22"/>
        </w:rPr>
        <w:t>vzrástli</w:t>
      </w:r>
      <w:r w:rsidRPr="00120EB4">
        <w:rPr>
          <w:rFonts w:asciiTheme="minorHAnsi" w:hAnsiTheme="minorHAnsi" w:cstheme="minorHAnsi"/>
          <w:sz w:val="22"/>
          <w:szCs w:val="22"/>
        </w:rPr>
        <w:t xml:space="preserve"> o</w:t>
      </w:r>
      <w:r w:rsidR="0090403D">
        <w:rPr>
          <w:rFonts w:asciiTheme="minorHAnsi" w:hAnsiTheme="minorHAnsi" w:cstheme="minorHAnsi"/>
          <w:sz w:val="22"/>
          <w:szCs w:val="22"/>
        </w:rPr>
        <w:t> 4,94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, čo predstavuje vo finančnom vyjadrení sumu </w:t>
      </w:r>
      <w:r w:rsidR="00CD0C8D">
        <w:rPr>
          <w:rFonts w:asciiTheme="minorHAnsi" w:hAnsiTheme="minorHAnsi" w:cstheme="minorHAnsi"/>
          <w:sz w:val="22"/>
          <w:szCs w:val="22"/>
        </w:rPr>
        <w:t>1</w:t>
      </w:r>
      <w:r w:rsidR="0090403D">
        <w:rPr>
          <w:rFonts w:asciiTheme="minorHAnsi" w:hAnsiTheme="minorHAnsi" w:cstheme="minorHAnsi"/>
          <w:sz w:val="22"/>
          <w:szCs w:val="22"/>
        </w:rPr>
        <w:t> 106 632,46</w:t>
      </w:r>
      <w:r w:rsidR="00CD0C8D">
        <w:rPr>
          <w:rFonts w:asciiTheme="minorHAnsi" w:hAnsiTheme="minorHAnsi" w:cstheme="minorHAnsi"/>
          <w:sz w:val="22"/>
          <w:szCs w:val="22"/>
        </w:rPr>
        <w:t xml:space="preserve"> </w:t>
      </w:r>
      <w:r w:rsidRPr="00120EB4">
        <w:rPr>
          <w:rFonts w:asciiTheme="minorHAnsi" w:hAnsiTheme="minorHAnsi" w:cstheme="minorHAnsi"/>
          <w:sz w:val="22"/>
          <w:szCs w:val="22"/>
        </w:rPr>
        <w:t>Eur (tabuľka  B). V prevažnej väčšine nákladových položiek bol zaznamenaný</w:t>
      </w:r>
      <w:r w:rsidR="00F60F77">
        <w:rPr>
          <w:rFonts w:asciiTheme="minorHAnsi" w:hAnsiTheme="minorHAnsi" w:cstheme="minorHAnsi"/>
          <w:sz w:val="22"/>
          <w:szCs w:val="22"/>
        </w:rPr>
        <w:t xml:space="preserve"> nárast</w:t>
      </w:r>
      <w:r w:rsidRPr="00120EB4">
        <w:rPr>
          <w:rFonts w:asciiTheme="minorHAnsi" w:hAnsiTheme="minorHAnsi" w:cstheme="minorHAnsi"/>
          <w:sz w:val="22"/>
          <w:szCs w:val="22"/>
        </w:rPr>
        <w:t>.</w:t>
      </w:r>
    </w:p>
    <w:p w14:paraId="63B48B64" w14:textId="09E1AF95" w:rsidR="00F60F77" w:rsidRDefault="00F60F77" w:rsidP="00F60F77">
      <w:pPr>
        <w:spacing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týchto nákladových položkách bol zaznamenaný </w:t>
      </w:r>
      <w:r w:rsidR="00B01EC8">
        <w:rPr>
          <w:rFonts w:asciiTheme="minorHAnsi" w:hAnsiTheme="minorHAnsi" w:cstheme="minorHAnsi"/>
          <w:sz w:val="22"/>
          <w:szCs w:val="22"/>
        </w:rPr>
        <w:t xml:space="preserve">najväčší </w:t>
      </w:r>
      <w:r w:rsidRPr="00CD4586">
        <w:rPr>
          <w:rFonts w:asciiTheme="minorHAnsi" w:hAnsiTheme="minorHAnsi" w:cstheme="minorHAnsi"/>
          <w:b/>
          <w:sz w:val="22"/>
          <w:szCs w:val="22"/>
        </w:rPr>
        <w:t>nárast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63E321B" w14:textId="73706E99" w:rsidR="0090403D" w:rsidRDefault="0090403D" w:rsidP="0090403D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504 – Predaný tovar, nárast vo výške 29 430,61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 </w:t>
      </w:r>
      <w:r w:rsidR="00B8062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88,61 %</w:t>
      </w:r>
    </w:p>
    <w:p w14:paraId="30691345" w14:textId="46FB36D7" w:rsidR="009237FB" w:rsidRDefault="009237FB" w:rsidP="001C580F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513 – Náklady na reprezentáciu – nárast vo výške </w:t>
      </w:r>
      <w:r w:rsidR="0090403D">
        <w:rPr>
          <w:rFonts w:asciiTheme="minorHAnsi" w:hAnsiTheme="minorHAnsi" w:cstheme="minorHAnsi"/>
          <w:sz w:val="22"/>
          <w:szCs w:val="22"/>
        </w:rPr>
        <w:t>23 344,58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403D">
        <w:rPr>
          <w:rFonts w:asciiTheme="minorHAnsi" w:hAnsiTheme="minorHAnsi" w:cstheme="minorHAnsi"/>
          <w:sz w:val="22"/>
          <w:szCs w:val="22"/>
        </w:rPr>
        <w:t xml:space="preserve"> 31,27</w:t>
      </w:r>
      <w:r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5F086B7D" w14:textId="065F6459" w:rsidR="00F60F77" w:rsidRDefault="00F60F77" w:rsidP="00F60F77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521 – Mzdové náklady – nárast vo výške </w:t>
      </w:r>
      <w:r w:rsidR="0090403D">
        <w:rPr>
          <w:rFonts w:asciiTheme="minorHAnsi" w:hAnsiTheme="minorHAnsi" w:cstheme="minorHAnsi"/>
          <w:sz w:val="22"/>
          <w:szCs w:val="22"/>
        </w:rPr>
        <w:t>627 807,30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0403D">
        <w:rPr>
          <w:rFonts w:asciiTheme="minorHAnsi" w:hAnsiTheme="minorHAnsi" w:cstheme="minorHAnsi"/>
          <w:sz w:val="22"/>
          <w:szCs w:val="22"/>
        </w:rPr>
        <w:t>5,52</w:t>
      </w:r>
      <w:r>
        <w:rPr>
          <w:rFonts w:asciiTheme="minorHAnsi" w:hAnsiTheme="minorHAnsi" w:cstheme="minorHAnsi"/>
          <w:sz w:val="22"/>
          <w:szCs w:val="22"/>
        </w:rPr>
        <w:t xml:space="preserve"> %. </w:t>
      </w:r>
    </w:p>
    <w:p w14:paraId="780087FA" w14:textId="0E0D54B3" w:rsidR="00216D68" w:rsidRDefault="00216D68" w:rsidP="00216D68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524 – Zákonné sociálne a zdravotné poistenie, nárast vo výške </w:t>
      </w:r>
      <w:r w:rsidR="0090403D">
        <w:rPr>
          <w:rFonts w:asciiTheme="minorHAnsi" w:hAnsiTheme="minorHAnsi" w:cstheme="minorHAnsi"/>
          <w:sz w:val="22"/>
          <w:szCs w:val="22"/>
        </w:rPr>
        <w:t>376 877,67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</w:t>
      </w:r>
      <w:r w:rsidR="0090403D">
        <w:rPr>
          <w:rFonts w:asciiTheme="minorHAnsi" w:hAnsiTheme="minorHAnsi" w:cstheme="minorHAnsi"/>
          <w:sz w:val="22"/>
          <w:szCs w:val="22"/>
        </w:rPr>
        <w:t> 9,69</w:t>
      </w:r>
      <w:r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6D19BC15" w14:textId="36916DCC" w:rsidR="0019324C" w:rsidRDefault="0019324C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náklady, nárast vo výške </w:t>
      </w:r>
      <w:r w:rsidR="0090403D">
        <w:rPr>
          <w:rFonts w:asciiTheme="minorHAnsi" w:hAnsiTheme="minorHAnsi" w:cstheme="minorHAnsi"/>
          <w:sz w:val="22"/>
          <w:szCs w:val="22"/>
        </w:rPr>
        <w:t>65 401,73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0403D">
        <w:rPr>
          <w:rFonts w:asciiTheme="minorHAnsi" w:hAnsiTheme="minorHAnsi" w:cstheme="minorHAnsi"/>
          <w:sz w:val="22"/>
          <w:szCs w:val="22"/>
        </w:rPr>
        <w:t>1</w:t>
      </w:r>
      <w:r w:rsidR="009237F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</w:t>
      </w:r>
      <w:r w:rsidR="0090403D">
        <w:rPr>
          <w:rFonts w:asciiTheme="minorHAnsi" w:hAnsiTheme="minorHAnsi" w:cstheme="minorHAnsi"/>
          <w:sz w:val="22"/>
          <w:szCs w:val="22"/>
        </w:rPr>
        <w:t>6</w:t>
      </w:r>
      <w:r w:rsidR="009237F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20EB4">
        <w:rPr>
          <w:rFonts w:asciiTheme="minorHAnsi" w:hAnsiTheme="minorHAnsi" w:cstheme="minorHAnsi"/>
          <w:sz w:val="22"/>
          <w:szCs w:val="22"/>
        </w:rPr>
        <w:t xml:space="preserve">%. </w:t>
      </w:r>
      <w:r w:rsidRPr="00EC5936">
        <w:rPr>
          <w:rFonts w:asciiTheme="minorHAnsi" w:hAnsiTheme="minorHAnsi" w:cstheme="minorHAnsi"/>
          <w:sz w:val="22"/>
          <w:szCs w:val="22"/>
        </w:rPr>
        <w:t>Nárast príspevku zamestnávateľa na stravovanie, nárast tvorby sociálneho fondu</w:t>
      </w:r>
      <w:r>
        <w:rPr>
          <w:rFonts w:asciiTheme="minorHAnsi" w:hAnsiTheme="minorHAnsi" w:cstheme="minorHAnsi"/>
          <w:sz w:val="22"/>
          <w:szCs w:val="22"/>
        </w:rPr>
        <w:t>, nárast príspevku zamestnávateľa na rekreáciu</w:t>
      </w:r>
      <w:r w:rsidRPr="00EC5936">
        <w:rPr>
          <w:rFonts w:asciiTheme="minorHAnsi" w:hAnsiTheme="minorHAnsi" w:cstheme="minorHAnsi"/>
          <w:sz w:val="22"/>
          <w:szCs w:val="22"/>
        </w:rPr>
        <w:t>.</w:t>
      </w:r>
    </w:p>
    <w:p w14:paraId="75CBDBFA" w14:textId="22E18132" w:rsidR="0090403D" w:rsidRDefault="0090403D" w:rsidP="0090403D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547 – Osobitné náklady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 vo výške </w:t>
      </w:r>
      <w:r>
        <w:rPr>
          <w:rFonts w:asciiTheme="minorHAnsi" w:hAnsiTheme="minorHAnsi" w:cstheme="minorHAnsi"/>
          <w:sz w:val="22"/>
          <w:szCs w:val="22"/>
        </w:rPr>
        <w:t>63 103,58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32,26</w:t>
      </w:r>
      <w:r w:rsidRPr="00120EB4">
        <w:rPr>
          <w:rFonts w:asciiTheme="minorHAnsi" w:hAnsiTheme="minorHAnsi" w:cstheme="minorHAnsi"/>
          <w:sz w:val="22"/>
          <w:szCs w:val="22"/>
        </w:rPr>
        <w:t xml:space="preserve"> %</w:t>
      </w:r>
      <w:r>
        <w:rPr>
          <w:rFonts w:asciiTheme="minorHAnsi" w:hAnsiTheme="minorHAnsi" w:cstheme="minorHAnsi"/>
          <w:sz w:val="22"/>
          <w:szCs w:val="22"/>
        </w:rPr>
        <w:t xml:space="preserve"> spôsobený  v rámci cestovania a </w:t>
      </w:r>
      <w:r w:rsidRPr="00120EB4">
        <w:rPr>
          <w:rFonts w:asciiTheme="minorHAnsi" w:hAnsiTheme="minorHAnsi" w:cstheme="minorHAnsi"/>
          <w:sz w:val="22"/>
          <w:szCs w:val="22"/>
        </w:rPr>
        <w:t xml:space="preserve"> mobility študentov –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  v roku 202</w:t>
      </w:r>
      <w:r>
        <w:rPr>
          <w:rFonts w:asciiTheme="minorHAnsi" w:hAnsiTheme="minorHAnsi" w:cstheme="minorHAnsi"/>
          <w:sz w:val="22"/>
          <w:szCs w:val="22"/>
        </w:rPr>
        <w:t>4.</w:t>
      </w:r>
    </w:p>
    <w:p w14:paraId="4A980DCB" w14:textId="0F842F86" w:rsidR="0090403D" w:rsidRPr="0019324C" w:rsidRDefault="0090403D" w:rsidP="0090403D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549 – Iné ostatné náklady, nárast vo výške 307 597,83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34,06 % ( ide najmä o </w:t>
      </w:r>
      <w:r w:rsidRPr="0019324C">
        <w:rPr>
          <w:rFonts w:asciiTheme="minorHAnsi" w:hAnsiTheme="minorHAnsi" w:cstheme="minorHAnsi"/>
          <w:sz w:val="22"/>
          <w:szCs w:val="22"/>
        </w:rPr>
        <w:t xml:space="preserve">náklady pri </w:t>
      </w:r>
      <w:proofErr w:type="spellStart"/>
      <w:r w:rsidRPr="0019324C">
        <w:rPr>
          <w:rFonts w:asciiTheme="minorHAnsi" w:hAnsiTheme="minorHAnsi" w:cstheme="minorHAnsi"/>
          <w:sz w:val="22"/>
          <w:szCs w:val="22"/>
        </w:rPr>
        <w:t>spoluriešení</w:t>
      </w:r>
      <w:proofErr w:type="spellEnd"/>
      <w:r w:rsidRPr="0019324C">
        <w:rPr>
          <w:rFonts w:asciiTheme="minorHAnsi" w:hAnsiTheme="minorHAnsi" w:cstheme="minorHAnsi"/>
          <w:sz w:val="22"/>
          <w:szCs w:val="22"/>
        </w:rPr>
        <w:t xml:space="preserve"> projektov...)</w:t>
      </w:r>
    </w:p>
    <w:p w14:paraId="242F80FA" w14:textId="6A987D68" w:rsidR="0019324C" w:rsidRDefault="0019324C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vo výške </w:t>
      </w:r>
      <w:r w:rsidR="0090403D">
        <w:rPr>
          <w:rFonts w:asciiTheme="minorHAnsi" w:hAnsiTheme="minorHAnsi" w:cstheme="minorHAnsi"/>
          <w:sz w:val="22"/>
          <w:szCs w:val="22"/>
        </w:rPr>
        <w:t>50 612,56</w:t>
      </w:r>
      <w:r w:rsidRPr="00120E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 w:rsidR="003B3C2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,</w:t>
      </w:r>
      <w:r w:rsidR="003B3C21">
        <w:rPr>
          <w:rFonts w:asciiTheme="minorHAnsi" w:hAnsiTheme="minorHAnsi" w:cstheme="minorHAnsi"/>
          <w:sz w:val="22"/>
          <w:szCs w:val="22"/>
        </w:rPr>
        <w:t>46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. </w:t>
      </w:r>
    </w:p>
    <w:p w14:paraId="13E4786B" w14:textId="21181A69" w:rsidR="002F1C18" w:rsidRDefault="0090403D" w:rsidP="0019324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E80CE" w14:textId="2A6F3BF9" w:rsidR="00A374CC" w:rsidRDefault="005B5E30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A374CC" w:rsidRPr="00C11503">
        <w:rPr>
          <w:rFonts w:asciiTheme="minorHAnsi" w:hAnsiTheme="minorHAnsi" w:cstheme="minorHAnsi"/>
          <w:b/>
          <w:sz w:val="22"/>
          <w:szCs w:val="22"/>
        </w:rPr>
        <w:t>okles</w:t>
      </w:r>
      <w:r w:rsidR="00A374CC">
        <w:rPr>
          <w:rFonts w:asciiTheme="minorHAnsi" w:hAnsiTheme="minorHAnsi" w:cstheme="minorHAnsi"/>
          <w:sz w:val="22"/>
          <w:szCs w:val="22"/>
        </w:rPr>
        <w:t xml:space="preserve"> v porovnaní s predchádzajúcim rokom </w:t>
      </w:r>
      <w:r w:rsidR="00216D68">
        <w:rPr>
          <w:rFonts w:asciiTheme="minorHAnsi" w:hAnsiTheme="minorHAnsi" w:cstheme="minorHAnsi"/>
          <w:sz w:val="22"/>
          <w:szCs w:val="22"/>
        </w:rPr>
        <w:t xml:space="preserve">v absolútnych číslach </w:t>
      </w:r>
      <w:r w:rsidR="00A374CC">
        <w:rPr>
          <w:rFonts w:asciiTheme="minorHAnsi" w:hAnsiTheme="minorHAnsi" w:cstheme="minorHAnsi"/>
          <w:sz w:val="22"/>
          <w:szCs w:val="22"/>
        </w:rPr>
        <w:t>bol zaznamenaný v týchto nákladových položkách:</w:t>
      </w:r>
    </w:p>
    <w:p w14:paraId="27F7C1B3" w14:textId="40E058EB" w:rsidR="0090403D" w:rsidRDefault="0090403D" w:rsidP="00BB0DC0">
      <w:pPr>
        <w:shd w:val="clear" w:color="auto" w:fill="FFFFFF" w:themeFill="background1"/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502 – Spotreba energií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pokles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351 416,38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3B3C21">
        <w:rPr>
          <w:rFonts w:asciiTheme="minorHAnsi" w:hAnsiTheme="minorHAnsi" w:cstheme="minorHAnsi"/>
          <w:color w:val="000000" w:themeColor="text1"/>
          <w:sz w:val="22"/>
          <w:szCs w:val="22"/>
        </w:rPr>
        <w:t>48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ide o pokles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ov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najmä 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plyn, el. energiu</w:t>
      </w:r>
    </w:p>
    <w:p w14:paraId="35B94F56" w14:textId="122463BC" w:rsidR="0090403D" w:rsidRDefault="0090403D" w:rsidP="0090403D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512 – Cestovné – pokles vo výške 15 747,71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5,02 %,  </w:t>
      </w:r>
    </w:p>
    <w:p w14:paraId="29DDC9CF" w14:textId="43AAF22E" w:rsidR="0090403D" w:rsidRPr="00AC59AE" w:rsidRDefault="0090403D" w:rsidP="0090403D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9AE">
        <w:rPr>
          <w:rFonts w:asciiTheme="minorHAnsi" w:hAnsiTheme="minorHAnsi" w:cstheme="minorHAnsi"/>
          <w:sz w:val="22"/>
          <w:szCs w:val="22"/>
        </w:rPr>
        <w:t xml:space="preserve">518 – Ostatné služby – </w:t>
      </w:r>
      <w:r>
        <w:rPr>
          <w:rFonts w:asciiTheme="minorHAnsi" w:hAnsiTheme="minorHAnsi" w:cstheme="minorHAnsi"/>
          <w:sz w:val="22"/>
          <w:szCs w:val="22"/>
        </w:rPr>
        <w:t>pokles</w:t>
      </w:r>
      <w:r w:rsidRPr="00AC59AE">
        <w:rPr>
          <w:rFonts w:asciiTheme="minorHAnsi" w:hAnsiTheme="minorHAnsi" w:cstheme="minorHAnsi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sz w:val="22"/>
          <w:szCs w:val="22"/>
        </w:rPr>
        <w:t>127 880,30</w:t>
      </w:r>
      <w:r w:rsidRPr="00AC59AE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AC59A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C59A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8,9</w:t>
      </w:r>
      <w:r w:rsidRPr="00AC59AE">
        <w:rPr>
          <w:rFonts w:asciiTheme="minorHAnsi" w:hAnsiTheme="minorHAnsi" w:cstheme="minorHAnsi"/>
          <w:sz w:val="22"/>
          <w:szCs w:val="22"/>
        </w:rPr>
        <w:t xml:space="preserve"> %. (ide najmä o konferenčné poplatky, klinické praxe, preklady, posudky, náklady na tlač</w:t>
      </w:r>
      <w:r>
        <w:rPr>
          <w:rFonts w:asciiTheme="minorHAnsi" w:hAnsiTheme="minorHAnsi" w:cstheme="minorHAnsi"/>
          <w:sz w:val="22"/>
          <w:szCs w:val="22"/>
        </w:rPr>
        <w:t>, nájomné za priestory</w:t>
      </w:r>
      <w:r w:rsidRPr="00AC59AE">
        <w:rPr>
          <w:rFonts w:asciiTheme="minorHAnsi" w:hAnsiTheme="minorHAnsi" w:cstheme="minorHAnsi"/>
          <w:sz w:val="22"/>
          <w:szCs w:val="22"/>
        </w:rPr>
        <w:t>).</w:t>
      </w:r>
    </w:p>
    <w:p w14:paraId="085C7E8D" w14:textId="77777777" w:rsidR="0090403D" w:rsidRDefault="0090403D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10D750F" w14:textId="77777777" w:rsidR="002C62EF" w:rsidRDefault="002C62EF" w:rsidP="00487601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33E893" w14:textId="069DE0E0" w:rsidR="00A374CC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Trnavská univerzita v Trnave dosiahla vo výnosovej časti  </w:t>
      </w:r>
      <w:r w:rsidRPr="001B4E1B">
        <w:rPr>
          <w:rFonts w:asciiTheme="minorHAnsi" w:hAnsiTheme="minorHAnsi" w:cstheme="minorHAnsi"/>
          <w:b/>
          <w:sz w:val="22"/>
          <w:szCs w:val="22"/>
        </w:rPr>
        <w:t>za hlavnú činnosť</w:t>
      </w:r>
      <w:r>
        <w:rPr>
          <w:rFonts w:asciiTheme="minorHAnsi" w:hAnsiTheme="minorHAnsi" w:cstheme="minorHAnsi"/>
          <w:sz w:val="22"/>
          <w:szCs w:val="22"/>
        </w:rPr>
        <w:t xml:space="preserve">  medziročný nárast vo výške </w:t>
      </w:r>
      <w:r w:rsidR="007309B7">
        <w:rPr>
          <w:rFonts w:asciiTheme="minorHAnsi" w:hAnsiTheme="minorHAnsi" w:cstheme="minorHAnsi"/>
          <w:sz w:val="22"/>
          <w:szCs w:val="22"/>
        </w:rPr>
        <w:t>3 116 381,09</w:t>
      </w:r>
      <w:r>
        <w:rPr>
          <w:rFonts w:asciiTheme="minorHAnsi" w:hAnsiTheme="minorHAnsi" w:cstheme="minorHAnsi"/>
          <w:sz w:val="22"/>
          <w:szCs w:val="22"/>
        </w:rPr>
        <w:t xml:space="preserve"> Eur, čo predstavuje </w:t>
      </w:r>
      <w:r w:rsidR="007309B7">
        <w:rPr>
          <w:rFonts w:asciiTheme="minorHAnsi" w:hAnsiTheme="minorHAnsi" w:cstheme="minorHAnsi"/>
          <w:sz w:val="22"/>
          <w:szCs w:val="22"/>
        </w:rPr>
        <w:t>14,58</w:t>
      </w:r>
      <w:r>
        <w:rPr>
          <w:rFonts w:asciiTheme="minorHAnsi" w:hAnsiTheme="minorHAnsi" w:cstheme="minorHAnsi"/>
          <w:sz w:val="22"/>
          <w:szCs w:val="22"/>
        </w:rPr>
        <w:t xml:space="preserve"> %. Štruktúru výnosov a index nárastu resp. poklesu zobrazuje tabuľka C.</w:t>
      </w:r>
    </w:p>
    <w:p w14:paraId="6D6DFCBC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2F85A503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C   Výnosy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3B5AA046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5181DD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93E5C7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86ED989" w14:textId="53E428BD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7309B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9C4A89" w14:textId="3F4AED06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 w:rsidR="007309B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9E46DF2" w14:textId="72F8C135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 w:rsidR="007309B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4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7309B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</w:p>
        </w:tc>
      </w:tr>
      <w:tr w:rsidR="007309B7" w:rsidRPr="005D6187" w14:paraId="2E1F82C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8296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7036" w14:textId="77777777" w:rsidR="007309B7" w:rsidRPr="005D6187" w:rsidRDefault="007309B7" w:rsidP="007309B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Tržby z predaja služieb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988B" w14:textId="03ACD423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399 288,68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EC691" w14:textId="6FA0D685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277 147,96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79BF" w14:textId="39E85272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0,69</w:t>
            </w:r>
          </w:p>
        </w:tc>
      </w:tr>
      <w:tr w:rsidR="007309B7" w:rsidRPr="005D6187" w14:paraId="6ECB963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154F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4075" w14:textId="77777777" w:rsidR="007309B7" w:rsidRPr="005D6187" w:rsidRDefault="007309B7" w:rsidP="007309B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38A4A" w14:textId="1852E27D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2 571,72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2527" w14:textId="72E61422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2 035,96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3511" w14:textId="770E5C49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0,79</w:t>
            </w:r>
          </w:p>
        </w:tc>
      </w:tr>
      <w:tr w:rsidR="007309B7" w:rsidRPr="005D6187" w14:paraId="48B11FA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53C5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9B8A" w14:textId="77777777" w:rsidR="007309B7" w:rsidRPr="005D6187" w:rsidRDefault="007309B7" w:rsidP="007309B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zisky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1B0FC" w14:textId="3EC7897C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F81B3" w14:textId="4BD250D8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74D0" w14:textId="1CD3C644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0,12</w:t>
            </w:r>
          </w:p>
        </w:tc>
      </w:tr>
      <w:tr w:rsidR="007309B7" w:rsidRPr="005D6187" w14:paraId="4CC00F2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76E7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53F6" w14:textId="77777777" w:rsidR="007309B7" w:rsidRPr="005D6187" w:rsidRDefault="007309B7" w:rsidP="007309B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C840" w14:textId="07F23D1B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1 630 790,62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2ED1" w14:textId="7B6BE54C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1 915 584,26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F399" w14:textId="59F73B41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1,17</w:t>
            </w:r>
          </w:p>
        </w:tc>
      </w:tr>
      <w:tr w:rsidR="007309B7" w:rsidRPr="005D6187" w14:paraId="1689C25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D59C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BE95" w14:textId="77777777" w:rsidR="007309B7" w:rsidRPr="005D6187" w:rsidRDefault="007309B7" w:rsidP="007309B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výnosy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105CF" w14:textId="731EED3A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451 303,06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D26D" w14:textId="3287362B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94 136,31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A617" w14:textId="4E12F71C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0,21</w:t>
            </w:r>
          </w:p>
        </w:tc>
      </w:tr>
      <w:tr w:rsidR="007309B7" w:rsidRPr="005D6187" w14:paraId="1C5E4CD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FC98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1D67" w14:textId="77777777" w:rsidR="007309B7" w:rsidRPr="005D6187" w:rsidRDefault="007309B7" w:rsidP="007309B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Výnosy z použitia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A527" w14:textId="047FC1A9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169  914,96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48D80" w14:textId="01660F5A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183 044,32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5A83" w14:textId="5BA0DBFC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1,08</w:t>
            </w:r>
          </w:p>
        </w:tc>
      </w:tr>
      <w:tr w:rsidR="007309B7" w:rsidRPr="005D6187" w14:paraId="2B11187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1071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E6E" w14:textId="77777777" w:rsidR="007309B7" w:rsidRPr="005D6187" w:rsidRDefault="007309B7" w:rsidP="007309B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Dotácie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53B4" w14:textId="34351FFA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18 719 292,28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271D" w14:textId="2EC442FC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22 017 619,79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C4DCB" w14:textId="67FB146D" w:rsidR="007309B7" w:rsidRPr="005D6187" w:rsidRDefault="007309B7" w:rsidP="007309B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1,18</w:t>
            </w:r>
          </w:p>
        </w:tc>
      </w:tr>
      <w:tr w:rsidR="007309B7" w:rsidRPr="005D6187" w14:paraId="3707F64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E3B3FE" w14:textId="77777777" w:rsidR="007309B7" w:rsidRPr="005D6187" w:rsidRDefault="007309B7" w:rsidP="007309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7CE44D" w14:textId="77777777" w:rsidR="007309B7" w:rsidRPr="005D6187" w:rsidRDefault="007309B7" w:rsidP="007309B7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4F2D53" w14:textId="75187A68" w:rsidR="007309B7" w:rsidRPr="005D6187" w:rsidRDefault="007309B7" w:rsidP="007309B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21 373 191,01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A8A57" w14:textId="028D58AA" w:rsidR="007309B7" w:rsidRPr="005D6187" w:rsidRDefault="007309B7" w:rsidP="007309B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24 489 572,10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0ECB1A" w14:textId="77777777" w:rsidR="0084159F" w:rsidRDefault="0084159F" w:rsidP="007309B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</w:p>
          <w:p w14:paraId="12EA067F" w14:textId="16E9AFED" w:rsidR="007309B7" w:rsidRPr="005D6187" w:rsidRDefault="007309B7" w:rsidP="007309B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1,15</w:t>
            </w:r>
          </w:p>
        </w:tc>
      </w:tr>
    </w:tbl>
    <w:p w14:paraId="477FC7DA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C22C9AB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1E96E675" w14:textId="68B45F3F" w:rsidR="00592506" w:rsidRDefault="00A374CC" w:rsidP="00DC621F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oblasti nákladov za hlavnú činnosť (tabuľka D) prišlo celkovo 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nárastu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vo výške </w:t>
      </w:r>
      <w:r w:rsidR="007409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2 195 418,24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BC450B">
        <w:rPr>
          <w:rFonts w:asciiTheme="minorHAnsi" w:hAnsiTheme="minorHAnsi" w:cstheme="minorHAnsi"/>
          <w:color w:val="000000" w:themeColor="text1"/>
          <w:sz w:val="22"/>
          <w:szCs w:val="22"/>
        </w:rPr>
        <w:t> 12,11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D12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8635AEF" w14:textId="77777777" w:rsidR="00C86DF0" w:rsidRDefault="00C86DF0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2B96B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D  Náklady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40835578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40285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89615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825C7F" w14:textId="1C8CE07D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8818B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3236F2C" w14:textId="1682BED2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 w:rsidR="008818B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16CA85B" w14:textId="0C2023B1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 w:rsidR="008818B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4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</w:t>
            </w:r>
            <w:r w:rsidR="008818B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3</w:t>
            </w:r>
          </w:p>
        </w:tc>
      </w:tr>
      <w:tr w:rsidR="008818B9" w:rsidRPr="005D6187" w14:paraId="4891B93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C617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1D80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735E" w14:textId="23A93E3C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698 465,97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4BC03" w14:textId="43CEB5BB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533 407,15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D70EA" w14:textId="074CB6A9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0,76</w:t>
            </w:r>
          </w:p>
        </w:tc>
      </w:tr>
      <w:tr w:rsidR="008818B9" w:rsidRPr="005D6187" w14:paraId="4174F52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8B35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3424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1249" w14:textId="2EC558D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723 217,82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63FC2" w14:textId="4FA5D399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365 363,83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8A2A8" w14:textId="3A813A9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0,51</w:t>
            </w:r>
          </w:p>
        </w:tc>
      </w:tr>
      <w:tr w:rsidR="008818B9" w:rsidRPr="005D6187" w14:paraId="59C497E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99A3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D755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9BEE8" w14:textId="63EE1029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4 717,02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9AC2" w14:textId="55644125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18 501,47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BB19" w14:textId="7D91610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3,92</w:t>
            </w:r>
          </w:p>
        </w:tc>
      </w:tr>
      <w:tr w:rsidR="008818B9" w:rsidRPr="005D6187" w14:paraId="3453EF3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7EDC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9BE2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6FE65" w14:textId="3EEEEFDA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154 641,88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A6BF8" w14:textId="515C252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105 943,08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CC58F" w14:textId="4C7BBD71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0,69</w:t>
            </w:r>
          </w:p>
        </w:tc>
      </w:tr>
      <w:tr w:rsidR="008818B9" w:rsidRPr="005D6187" w14:paraId="4255C22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0864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92C8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DF42C" w14:textId="6F745ACE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307 603,10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1CF1" w14:textId="25B61D4D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284 844,47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C250B" w14:textId="6086BFFA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0,93</w:t>
            </w:r>
          </w:p>
        </w:tc>
      </w:tr>
      <w:tr w:rsidR="008818B9" w:rsidRPr="005D6187" w14:paraId="202C6D5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43FB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F103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CF19B" w14:textId="5DCC7E2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73 327,78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A844" w14:textId="7CDCCD20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95 672,87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1432" w14:textId="4B7029A5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1,30</w:t>
            </w:r>
          </w:p>
        </w:tc>
      </w:tr>
      <w:tr w:rsidR="008818B9" w:rsidRPr="005D6187" w14:paraId="5FF4741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D49A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14C7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E14B" w14:textId="09109EF9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1 454 183,56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7F3A1" w14:textId="437F755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1 272 869,33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A4B39" w14:textId="66A50A8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0,88</w:t>
            </w:r>
          </w:p>
        </w:tc>
      </w:tr>
      <w:tr w:rsidR="008818B9" w:rsidRPr="005D6187" w14:paraId="73E7E56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7566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9402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DF549" w14:textId="5DAF7326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11 278 596,32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79BDB" w14:textId="145FB507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11 921 150,87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EC15" w14:textId="000035D0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1,06</w:t>
            </w:r>
          </w:p>
        </w:tc>
      </w:tr>
      <w:tr w:rsidR="008818B9" w:rsidRPr="005D6187" w14:paraId="578C279B" w14:textId="77777777" w:rsidTr="00A374CC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73EC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D8CF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zdr</w:t>
            </w:r>
            <w:proofErr w:type="spellEnd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A6041" w14:textId="2EE15797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3 858 697,08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B7C65" w14:textId="5AE37B0E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4 238 369,00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265B" w14:textId="28755C1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1,10</w:t>
            </w:r>
          </w:p>
        </w:tc>
      </w:tr>
      <w:tr w:rsidR="008818B9" w:rsidRPr="005D6187" w14:paraId="73B1AFF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4824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56F6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D298" w14:textId="15EA0D15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47 559,40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BFAD" w14:textId="3C0258DE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109 779,48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D1B01" w14:textId="7153A32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2,31</w:t>
            </w:r>
          </w:p>
        </w:tc>
      </w:tr>
      <w:tr w:rsidR="008818B9" w:rsidRPr="005D6187" w14:paraId="3D19C1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57F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245E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722EF" w14:textId="4F048E35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504 316,23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1440" w14:textId="29603DC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582 745,98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A488" w14:textId="370CE96B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1,16</w:t>
            </w:r>
          </w:p>
        </w:tc>
      </w:tr>
      <w:tr w:rsidR="008818B9" w:rsidRPr="005D6187" w14:paraId="16D32C6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D5FF" w14:textId="1AE0E99E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05107" w14:textId="3AEFC9C4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Ostatné sociálne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17EFD" w14:textId="7CD06E34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9D15" w14:textId="6C2EE40A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FB0F" w14:textId="533ACB69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8818B9" w:rsidRPr="005D6187" w14:paraId="7AB5D94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4D19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03D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7AEE" w14:textId="6320B0C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36 527,93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BCFA" w14:textId="6C30ABDF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48 725,92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855B" w14:textId="1EF5DCD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1,34</w:t>
            </w:r>
          </w:p>
        </w:tc>
      </w:tr>
      <w:tr w:rsidR="008818B9" w:rsidRPr="005D6187" w14:paraId="1D7D9DB5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AE92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E3FD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4FA8" w14:textId="7A0F946C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A57E" w14:textId="5A61226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94DC" w14:textId="217F3F14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0,09</w:t>
            </w:r>
          </w:p>
        </w:tc>
      </w:tr>
      <w:tr w:rsidR="008818B9" w:rsidRPr="005D6187" w14:paraId="7DF090C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EC30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D98F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320FC" w14:textId="0917852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639,10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53BE3" w14:textId="7B564EBC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974,84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533A" w14:textId="1A09A54A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1,53</w:t>
            </w:r>
          </w:p>
        </w:tc>
      </w:tr>
      <w:tr w:rsidR="008818B9" w:rsidRPr="005D6187" w14:paraId="3D8B64FE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D10D6" w14:textId="1348DF23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BC088" w14:textId="3EC8B5DA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Dary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CC44" w14:textId="665B15DB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22A5" w14:textId="39178F3D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011E6" w14:textId="1F5D11D6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8818B9" w:rsidRPr="005D6187" w14:paraId="211AF3B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827B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6E24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74387" w14:textId="4F626EB7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195 619,26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73D3" w14:textId="3724C49A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255 390,95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64110" w14:textId="4CC6FEE6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1,31</w:t>
            </w:r>
          </w:p>
        </w:tc>
      </w:tr>
      <w:tr w:rsidR="008818B9" w:rsidRPr="005D6187" w14:paraId="0674744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1C82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7D52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Manká a škody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8151" w14:textId="0E3E3B80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CC1AF" w14:textId="0DE157CB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5ECB" w14:textId="1775D3B4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35,81</w:t>
            </w:r>
          </w:p>
        </w:tc>
      </w:tr>
      <w:tr w:rsidR="008818B9" w:rsidRPr="005D6187" w14:paraId="16F07BD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9C2A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BEF8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6DD0E" w14:textId="047D48E3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902 492,26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14F7" w14:textId="490D96A6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1 210 436,80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0805" w14:textId="790BDBDF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1,34</w:t>
            </w:r>
          </w:p>
        </w:tc>
      </w:tr>
      <w:tr w:rsidR="008818B9" w:rsidRPr="005D6187" w14:paraId="0E9DA5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A5CB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1E4F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Odpisy DNM a 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29410" w14:textId="5561E675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1 133 303,98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2212" w14:textId="5A7F6F63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1 182 626,43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FAD5" w14:textId="34307BBD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1,04</w:t>
            </w:r>
          </w:p>
        </w:tc>
      </w:tr>
      <w:tr w:rsidR="008818B9" w:rsidRPr="005D6187" w14:paraId="516A9E5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26BA6" w14:textId="0AC23110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9698" w14:textId="6BB8996B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Predaný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63682" w14:textId="279582FC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2 205,95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60BA4" w14:textId="65E10AAB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7A6E" w14:textId="5DDBFF38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8818B9" w:rsidRPr="005D6187" w14:paraId="6C22AD46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F842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EAB8" w14:textId="77777777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8083" w14:textId="2DCED72A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815 446,85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2278" w14:textId="01FF8382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972 844,46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11940" w14:textId="1D1E83C5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1,19</w:t>
            </w:r>
          </w:p>
        </w:tc>
      </w:tr>
      <w:tr w:rsidR="008818B9" w:rsidRPr="005D6187" w14:paraId="0053CDF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248E1" w14:textId="47796225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2AC18" w14:textId="480BAFD1" w:rsidR="008818B9" w:rsidRPr="005D6187" w:rsidRDefault="008818B9" w:rsidP="008818B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Poskytnuté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píspevky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iným ÚJ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CBB7" w14:textId="73212306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411C2" w14:textId="0C55C0D3" w:rsidR="008818B9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13 210,64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1711" w14:textId="5A687061" w:rsidR="008818B9" w:rsidRPr="005D6187" w:rsidRDefault="008818B9" w:rsidP="008818B9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200,16</w:t>
            </w:r>
          </w:p>
        </w:tc>
      </w:tr>
      <w:tr w:rsidR="008818B9" w:rsidRPr="005D6187" w14:paraId="545C36C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5E4E8B" w14:textId="77777777" w:rsidR="008818B9" w:rsidRPr="005D6187" w:rsidRDefault="008818B9" w:rsidP="008818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7E492" w14:textId="77777777" w:rsidR="008818B9" w:rsidRPr="005D6187" w:rsidRDefault="008818B9" w:rsidP="008818B9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085FC0" w14:textId="594982EE" w:rsidR="008818B9" w:rsidRPr="005D6187" w:rsidRDefault="008818B9" w:rsidP="008818B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22 192 239,77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4E10C2" w14:textId="5FA19B34" w:rsidR="008818B9" w:rsidRPr="005D6187" w:rsidRDefault="008818B9" w:rsidP="008818B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23 213 384,25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E5C24F" w14:textId="2F875241" w:rsidR="008818B9" w:rsidRPr="005D6187" w:rsidRDefault="008818B9" w:rsidP="008818B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1,05</w:t>
            </w:r>
          </w:p>
        </w:tc>
      </w:tr>
    </w:tbl>
    <w:p w14:paraId="70AD4CB9" w14:textId="77777777" w:rsidR="00A374CC" w:rsidRPr="00A42529" w:rsidRDefault="00A374CC" w:rsidP="00A374CC">
      <w:pPr>
        <w:spacing w:after="96" w:line="259" w:lineRule="auto"/>
        <w:rPr>
          <w:rFonts w:asciiTheme="minorHAnsi" w:hAnsiTheme="minorHAnsi" w:cstheme="minorHAnsi"/>
          <w:sz w:val="22"/>
          <w:szCs w:val="22"/>
        </w:rPr>
      </w:pPr>
    </w:p>
    <w:p w14:paraId="43654167" w14:textId="59E0C136" w:rsidR="00A374CC" w:rsidRDefault="00A374CC" w:rsidP="0084681D">
      <w:pPr>
        <w:shd w:val="clear" w:color="auto" w:fill="FFFFFF" w:themeFill="background1"/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D36A360" w14:textId="77777777" w:rsidR="00DC621F" w:rsidRDefault="00DC621F" w:rsidP="00204447">
      <w:pPr>
        <w:shd w:val="clear" w:color="auto" w:fill="FFFFFF" w:themeFill="background1"/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týchto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nákladových položkách bol zaznamenaný  </w:t>
      </w:r>
      <w:r w:rsidRPr="00C629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8539E94" w14:textId="490587A8" w:rsidR="00DE7E55" w:rsidRPr="00592506" w:rsidRDefault="00DE7E55" w:rsidP="00204447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513 – Náklady na reprezentačné – nárast o</w:t>
      </w:r>
      <w:r w:rsidR="0079422B">
        <w:rPr>
          <w:rFonts w:asciiTheme="minorHAnsi" w:hAnsiTheme="minorHAnsi" w:cstheme="minorHAnsi"/>
          <w:color w:val="000000" w:themeColor="text1"/>
          <w:sz w:val="22"/>
          <w:szCs w:val="22"/>
        </w:rPr>
        <w:t> 22 345,09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79422B">
        <w:rPr>
          <w:rFonts w:asciiTheme="minorHAnsi" w:hAnsiTheme="minorHAnsi" w:cstheme="minorHAnsi"/>
          <w:color w:val="000000" w:themeColor="text1"/>
          <w:sz w:val="22"/>
          <w:szCs w:val="22"/>
        </w:rPr>
        <w:t> 30,21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</w:p>
    <w:p w14:paraId="614EEF5E" w14:textId="2EF60E6E" w:rsidR="00DC621F" w:rsidRPr="003043AF" w:rsidRDefault="00DC621F" w:rsidP="00204447">
      <w:pPr>
        <w:shd w:val="clear" w:color="auto" w:fill="FFFFFF" w:themeFill="background1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521 – Mzdové náklady – nárast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642 554,55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5,70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</w:p>
    <w:p w14:paraId="749CB627" w14:textId="29B19DF5" w:rsidR="00DC621F" w:rsidRDefault="00DC621F" w:rsidP="00204447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524 – Zákonné sociálne a zdravotné poistenie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379 671,92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9,84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E0593B4" w14:textId="66C765D4" w:rsidR="001F1243" w:rsidRDefault="001F1243" w:rsidP="00204447">
      <w:pPr>
        <w:shd w:val="clear" w:color="auto" w:fill="FFFFFF" w:themeFill="background1"/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525 – Ostatné sociálne poistenie – nárast o 62 220,08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 </w:t>
      </w:r>
      <w:r w:rsidR="0079422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30,8 %</w:t>
      </w:r>
    </w:p>
    <w:p w14:paraId="5245CFA4" w14:textId="3596A92C" w:rsidR="006C3ABF" w:rsidRDefault="006C3ABF" w:rsidP="00204447">
      <w:pPr>
        <w:pStyle w:val="Textkomentra"/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náklady, nárast vo výške </w:t>
      </w:r>
      <w:r w:rsidR="001F1243">
        <w:rPr>
          <w:rFonts w:asciiTheme="minorHAnsi" w:hAnsiTheme="minorHAnsi" w:cstheme="minorHAnsi"/>
          <w:sz w:val="22"/>
          <w:szCs w:val="22"/>
        </w:rPr>
        <w:t>78 429,75</w:t>
      </w:r>
      <w:r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F1243">
        <w:rPr>
          <w:rFonts w:asciiTheme="minorHAnsi" w:hAnsiTheme="minorHAnsi" w:cstheme="minorHAnsi"/>
          <w:sz w:val="22"/>
          <w:szCs w:val="22"/>
        </w:rPr>
        <w:t>15,55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0EB4">
        <w:rPr>
          <w:rFonts w:asciiTheme="minorHAnsi" w:hAnsiTheme="minorHAnsi" w:cstheme="minorHAnsi"/>
          <w:sz w:val="22"/>
          <w:szCs w:val="22"/>
        </w:rPr>
        <w:t>%</w:t>
      </w:r>
    </w:p>
    <w:p w14:paraId="3B04F1F3" w14:textId="037F7E10" w:rsidR="00DC621F" w:rsidRDefault="00DC621F" w:rsidP="00204447">
      <w:pPr>
        <w:shd w:val="clear" w:color="auto" w:fill="FFFFFF" w:themeFill="background1"/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49 322,45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4,35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</w:p>
    <w:p w14:paraId="2DB73286" w14:textId="6B9E0EFB" w:rsidR="006C3ABF" w:rsidRDefault="006C3ABF" w:rsidP="00204447">
      <w:pPr>
        <w:shd w:val="clear" w:color="auto" w:fill="FFFFFF" w:themeFill="background1"/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556 – Tvorba fondov – nárast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157 397,61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 w:rsidR="001F1243">
        <w:rPr>
          <w:rFonts w:asciiTheme="minorHAnsi" w:hAnsiTheme="minorHAnsi" w:cstheme="minorHAnsi"/>
          <w:color w:val="000000" w:themeColor="text1"/>
          <w:sz w:val="22"/>
          <w:szCs w:val="22"/>
        </w:rPr>
        <w:t> 19,30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</w:p>
    <w:p w14:paraId="1E8AF159" w14:textId="2C34B5C0" w:rsidR="00A374CC" w:rsidRDefault="001F1243" w:rsidP="00204447">
      <w:pPr>
        <w:shd w:val="clear" w:color="auto" w:fill="FFFFFF" w:themeFill="background1"/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562 – poskytnuté príspevky iným ÚJ – nárast o 13 144,64 eur, nastal zmenou postupov účtovania pri členských poplatkoch</w:t>
      </w:r>
    </w:p>
    <w:p w14:paraId="338D79AF" w14:textId="77777777" w:rsidR="0084681D" w:rsidRDefault="0084681D" w:rsidP="00204447">
      <w:pPr>
        <w:shd w:val="clear" w:color="auto" w:fill="FFFFFF" w:themeFill="background1"/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012B9E4" w14:textId="77777777" w:rsidR="008B3D8E" w:rsidRDefault="008B3D8E" w:rsidP="00204447">
      <w:pPr>
        <w:shd w:val="clear" w:color="auto" w:fill="FFFFFF" w:themeFill="background1"/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5359B082" w14:textId="77777777" w:rsidR="00A374CC" w:rsidRPr="00A42529" w:rsidRDefault="00A374CC" w:rsidP="00204447">
      <w:pPr>
        <w:shd w:val="clear" w:color="auto" w:fill="FFFFFF" w:themeFill="background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.3 Poznámky k účtovnej závierke</w:t>
      </w:r>
    </w:p>
    <w:p w14:paraId="32D54883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B4BA8E6" w14:textId="77777777" w:rsidR="00A374CC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Poznámky k účtovnej závierke obsahujú údaje vyplývajúce z §18 ods. 5 a 6 zákona o účtovníctve a tvoria prílohu č. 1 tejto správy.</w:t>
      </w:r>
    </w:p>
    <w:p w14:paraId="609B5B31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3064642" w14:textId="77777777" w:rsidR="006E3F7C" w:rsidRDefault="006E3F7C" w:rsidP="00EF44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2C23B8C" w14:textId="0148965B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.4 Rozbor </w:t>
      </w:r>
      <w:r w:rsidR="002A4C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hospodár</w:t>
      </w:r>
      <w:r w:rsidR="00B753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skeho </w:t>
      </w:r>
      <w:r w:rsidR="00E71D1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výsledku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0736770" w14:textId="77777777" w:rsidR="009D4192" w:rsidRPr="00A42529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14:paraId="4B0BD6F7" w14:textId="632C1A92" w:rsidR="009D4192" w:rsidRDefault="009D4192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 roku 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kladný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hospodársky  výsledok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1 326 740,35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Eur, z toho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nezdaňovanej činnosti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zisk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1 276 187,85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a zo zdaňovanej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podnikateľskej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zisk vo výške</w:t>
      </w:r>
      <w:r w:rsidR="00EE4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50 552,50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Eur. </w:t>
      </w:r>
      <w:r w:rsidRPr="00B1607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E043B7E" w14:textId="5956AC69" w:rsidR="00105913" w:rsidRPr="00105913" w:rsidRDefault="00105913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Kladný hospodársky výsledok Trnavskej univerzity v Trnave vznikol najmä z dôvodu </w:t>
      </w:r>
      <w:r w:rsidR="008228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získania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vyšších dotačných prostriedkov zo štátneho rozpočtu a vyšším výberom školného od externých študentov ako sa plánovalo.</w:t>
      </w:r>
    </w:p>
    <w:p w14:paraId="383C8A24" w14:textId="354BAA42" w:rsidR="00015AA9" w:rsidRPr="00015AA9" w:rsidRDefault="00015AA9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>Trnavská univerzita v Trnave nevykazuje za rok 202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žiadne záväzky voči zamestnancom, štátnym inštitúciám ako sú zdravotné poisťovne, sociálna poisťovňa, daňový úrad a tiež má splnené všetky záväzky voči dodávateľom. </w:t>
      </w:r>
    </w:p>
    <w:p w14:paraId="1FC91A73" w14:textId="5BB91D3A" w:rsidR="00A7768D" w:rsidRPr="00015AA9" w:rsidRDefault="00015AA9" w:rsidP="001248FA">
      <w:pPr>
        <w:spacing w:line="276" w:lineRule="auto"/>
        <w:ind w:firstLine="426"/>
        <w:jc w:val="both"/>
        <w:rPr>
          <w:rFonts w:asciiTheme="minorHAnsi" w:hAnsiTheme="minorHAnsi" w:cstheme="minorHAnsi"/>
          <w:color w:val="D99594" w:themeColor="accent2" w:themeTint="99"/>
          <w:sz w:val="22"/>
          <w:szCs w:val="22"/>
        </w:rPr>
      </w:pPr>
      <w:r w:rsidRPr="00015AA9">
        <w:rPr>
          <w:rFonts w:asciiTheme="minorHAnsi" w:hAnsiTheme="minorHAnsi" w:cstheme="minorHAnsi"/>
          <w:color w:val="000000" w:themeColor="text1"/>
          <w:sz w:val="22"/>
          <w:szCs w:val="22"/>
        </w:rPr>
        <w:t>Trnavská univerzita v Trnave má dostatok finančných zdrojov na účtoch na zabezpečenie svojej činnosti</w:t>
      </w:r>
      <w:r w:rsidR="001248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212272" w14:textId="3A5FB9D9" w:rsidR="008972B9" w:rsidRPr="00A42529" w:rsidRDefault="009D4192" w:rsidP="008972B9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Trnavská univerzita v Trnave, ako registrovaný platiteľ dane z príjmov právnických osôb, podáva v zmysle zákona číslo 595/2003 Z. z. o dani z príjmov v znení neskorších predpisov daňové priznanie k dani z príjmov právnických osôb.  Z tohto dôvodu bol výsledok hospodárenia upravený o daň vo výške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13 729,42 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ur. 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>Porovnanie výsledku hospodárenia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uvedený v </w:t>
      </w:r>
      <w:r w:rsidRPr="00142B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tabuľke E.</w:t>
      </w:r>
    </w:p>
    <w:p w14:paraId="7485F8CE" w14:textId="77777777" w:rsidR="009D4192" w:rsidRPr="00EB5715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Tabuľka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Výsledok hospodárenia za hlavnú a podnikateľskú činnosť (v Eur)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276"/>
      </w:tblGrid>
      <w:tr w:rsidR="009D4192" w:rsidRPr="008C555A" w14:paraId="54681602" w14:textId="77777777" w:rsidTr="00F051A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2A6E1E8" w14:textId="77777777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Hlavná a podnikateľská činnosť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3570D9" w14:textId="6DBEE501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D45E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37206F" w14:textId="6B4A81B1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202</w:t>
            </w:r>
            <w:r w:rsidR="00D45E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E3EF82" w14:textId="33917DCB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 w:rsidR="00D45E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D45E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D45E40" w:rsidRPr="008C555A" w14:paraId="637E8C4A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504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DF92" w14:textId="23552B9D" w:rsidR="00D45E40" w:rsidRPr="008C555A" w:rsidRDefault="00D45E40" w:rsidP="00D45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21 588 482,47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B12" w14:textId="7F8E4587" w:rsidR="00D45E40" w:rsidRPr="008C555A" w:rsidRDefault="00D45E40" w:rsidP="00D45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24 827 605,38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1BA6" w14:textId="00E5CACB" w:rsidR="00D45E40" w:rsidRPr="00843BED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1,15</w:t>
            </w:r>
          </w:p>
        </w:tc>
      </w:tr>
      <w:tr w:rsidR="00D45E40" w:rsidRPr="008C555A" w14:paraId="63252955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CAF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B56" w14:textId="1576DE3C" w:rsidR="00D45E40" w:rsidRPr="008C555A" w:rsidRDefault="00D45E40" w:rsidP="00D45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22 380 281,65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F9D6" w14:textId="7FA231C0" w:rsidR="00D45E40" w:rsidRPr="008C555A" w:rsidRDefault="00D45E40" w:rsidP="00D45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23 486 914,11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7E69" w14:textId="4842D3C3" w:rsidR="00D45E40" w:rsidRPr="00843BED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1,05</w:t>
            </w:r>
          </w:p>
        </w:tc>
      </w:tr>
      <w:tr w:rsidR="00D45E40" w:rsidRPr="008C555A" w14:paraId="69BE80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BA5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Výsledok hospodárenia pred zdanením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33A6" w14:textId="0C38601E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-791 799,18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1E73" w14:textId="59C936AD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1 340 691,27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15FE" w14:textId="64667A2F" w:rsidR="00D45E40" w:rsidRPr="002D3A9F" w:rsidRDefault="005D7D18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</w:t>
            </w:r>
            <w:r w:rsidR="00544902"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,69</w:t>
            </w:r>
          </w:p>
        </w:tc>
      </w:tr>
      <w:tr w:rsidR="00D45E40" w:rsidRPr="008C555A" w14:paraId="3B4F313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B71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D10" w14:textId="69CC1AD7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6 183,68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6E93" w14:textId="47516F89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13 950,92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ED59" w14:textId="71E05136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2,2</w:t>
            </w:r>
            <w:r w:rsidR="00544902"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6</w:t>
            </w:r>
          </w:p>
        </w:tc>
      </w:tr>
      <w:tr w:rsidR="00D45E40" w:rsidRPr="008C555A" w14:paraId="679360A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F180A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Celkový výsledok hospodárenia po zdanení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EA1F69" w14:textId="562E8FEF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-797 982,86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3C893" w14:textId="1E2A70C5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1 326 740,35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F2898C" w14:textId="6D4FC10D" w:rsidR="00D45E40" w:rsidRPr="002D3A9F" w:rsidRDefault="005D7D18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</w:t>
            </w:r>
            <w:r w:rsidR="00544902"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,66</w:t>
            </w:r>
          </w:p>
        </w:tc>
      </w:tr>
      <w:tr w:rsidR="00D45E40" w:rsidRPr="008C555A" w14:paraId="5890AFD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C1E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 toho: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9A9E" w14:textId="331B1C5D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A9CA" w14:textId="77777777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971B" w14:textId="77777777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D45E40" w:rsidRPr="008C555A" w14:paraId="6631ABA4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EF2" w14:textId="5CE8CC49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HČ nezdaňovan</w:t>
            </w:r>
            <w:r w:rsidR="0054490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é</w:t>
            </w: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B5B4" w14:textId="535497E5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21 373 191,01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816C" w14:textId="1BD7013E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24 489 572,10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D91" w14:textId="0FF5891E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1,15</w:t>
            </w:r>
          </w:p>
        </w:tc>
      </w:tr>
      <w:tr w:rsidR="00D45E40" w:rsidRPr="008C555A" w14:paraId="5681FF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5DC" w14:textId="043B39C4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HČ nezdaňovan</w:t>
            </w:r>
            <w:r w:rsidR="0054490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é</w:t>
            </w: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E640" w14:textId="6F53FE63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22 192 239,77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EA1D" w14:textId="5FFD84A8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23 213 384,25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0B3D" w14:textId="0B80BD09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1,05</w:t>
            </w:r>
          </w:p>
        </w:tc>
      </w:tr>
      <w:tr w:rsidR="00D45E40" w:rsidRPr="008C555A" w14:paraId="7D1410D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646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Výsledok hospodárenia  pred zdanením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229" w14:textId="0452FFC6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- 819 048,76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D37F" w14:textId="12D0753E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1 276 187,85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763F" w14:textId="56AF4201" w:rsidR="00D45E40" w:rsidRPr="002D3A9F" w:rsidRDefault="005D7D18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</w:t>
            </w:r>
            <w:r w:rsidR="00544902"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,56</w:t>
            </w:r>
          </w:p>
        </w:tc>
      </w:tr>
      <w:tr w:rsidR="00D45E40" w:rsidRPr="008C555A" w14:paraId="2B393240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4280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5DF" w14:textId="7F2B004E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466C" w14:textId="622E848B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6FBA" w14:textId="69FCBCE3" w:rsidR="00D45E40" w:rsidRPr="002D3A9F" w:rsidRDefault="00544902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x</w:t>
            </w:r>
          </w:p>
        </w:tc>
      </w:tr>
      <w:tr w:rsidR="00D45E40" w:rsidRPr="008C555A" w14:paraId="306189F7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98882" w14:textId="77777777" w:rsidR="00D45E40" w:rsidRPr="008C555A" w:rsidRDefault="00D45E40" w:rsidP="00D45E4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VH po zdanení hlavná činnosť nezdaňovaná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6B31A" w14:textId="2FB7A513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- 819 048,76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11B80C" w14:textId="5DE0A95D" w:rsidR="00D45E40" w:rsidRPr="002D3A9F" w:rsidRDefault="00D45E40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1 276 187,85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CE88C4" w14:textId="11DFA380" w:rsidR="00D45E40" w:rsidRPr="002D3A9F" w:rsidRDefault="005D7D18" w:rsidP="00D45E4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2</w:t>
            </w:r>
            <w:r w:rsidR="00544902" w:rsidRPr="002D3A9F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,56</w:t>
            </w:r>
          </w:p>
        </w:tc>
      </w:tr>
    </w:tbl>
    <w:p w14:paraId="5BB1ABEC" w14:textId="77777777" w:rsidR="00AE6B13" w:rsidRDefault="00AE6B13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87C5B8" w14:textId="774CE31C" w:rsidR="009D4192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Hospodársky výsledok po zdanení podľa súčastí univerzity a platného členenia pracovných úsekov v informačnom systéme SOFIA v Eur je uvedený v tabuľke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C2C903" w14:textId="77777777" w:rsidR="00142B4E" w:rsidRDefault="00142B4E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A40911" w14:textId="1F2C2807" w:rsidR="00142B4E" w:rsidRPr="00142B4E" w:rsidRDefault="00142B4E" w:rsidP="00142B4E">
      <w:pPr>
        <w:spacing w:after="200"/>
        <w:rPr>
          <w:rFonts w:ascii="Arial" w:eastAsiaTheme="minorHAnsi" w:hAnsi="Arial" w:cs="Arial"/>
          <w:i/>
          <w:color w:val="000000" w:themeColor="text1"/>
        </w:rPr>
      </w:pPr>
      <w:r>
        <w:rPr>
          <w:rFonts w:ascii="Arial" w:eastAsiaTheme="minorHAnsi" w:hAnsi="Arial" w:cs="Arial"/>
          <w:i/>
          <w:color w:val="000000" w:themeColor="text1"/>
        </w:rPr>
        <w:t xml:space="preserve">  </w:t>
      </w:r>
      <w:r w:rsidR="00E71D1B">
        <w:rPr>
          <w:rFonts w:ascii="Arial" w:eastAsiaTheme="minorHAnsi" w:hAnsi="Arial" w:cs="Arial"/>
          <w:i/>
          <w:color w:val="000000" w:themeColor="text1"/>
        </w:rPr>
        <w:t>Tab</w:t>
      </w:r>
      <w:r w:rsidR="00C205EC">
        <w:rPr>
          <w:rFonts w:ascii="Arial" w:eastAsiaTheme="minorHAnsi" w:hAnsi="Arial" w:cs="Arial"/>
          <w:i/>
          <w:color w:val="000000" w:themeColor="text1"/>
        </w:rPr>
        <w:t>.</w:t>
      </w:r>
      <w:r w:rsidR="00E71D1B">
        <w:rPr>
          <w:rFonts w:ascii="Arial" w:eastAsiaTheme="minorHAnsi" w:hAnsi="Arial" w:cs="Arial"/>
          <w:i/>
          <w:color w:val="000000" w:themeColor="text1"/>
        </w:rPr>
        <w:t xml:space="preserve"> F </w:t>
      </w:r>
      <w:r w:rsidRPr="00142B4E">
        <w:rPr>
          <w:rFonts w:ascii="Arial" w:eastAsiaTheme="minorHAnsi" w:hAnsi="Arial" w:cs="Arial"/>
          <w:i/>
          <w:color w:val="000000" w:themeColor="text1"/>
        </w:rPr>
        <w:t>Výsledok hospodárenia po zdanení (rok 202</w:t>
      </w:r>
      <w:r w:rsidR="00D45E40">
        <w:rPr>
          <w:rFonts w:ascii="Arial" w:eastAsiaTheme="minorHAnsi" w:hAnsi="Arial" w:cs="Arial"/>
          <w:i/>
          <w:color w:val="000000" w:themeColor="text1"/>
        </w:rPr>
        <w:t>4</w:t>
      </w:r>
      <w:r w:rsidRPr="00142B4E">
        <w:rPr>
          <w:rFonts w:ascii="Arial" w:eastAsiaTheme="minorHAnsi" w:hAnsi="Arial" w:cs="Arial"/>
          <w:i/>
          <w:color w:val="000000" w:themeColor="text1"/>
        </w:rPr>
        <w:t xml:space="preserve">) - podľa súčastí Trnavskej univerzity </w:t>
      </w:r>
      <w:r w:rsidR="00C205EC">
        <w:rPr>
          <w:rFonts w:ascii="Arial" w:eastAsiaTheme="minorHAnsi" w:hAnsi="Arial" w:cs="Arial"/>
          <w:i/>
          <w:color w:val="000000" w:themeColor="text1"/>
        </w:rPr>
        <w:t>(</w:t>
      </w:r>
      <w:r w:rsidRPr="00142B4E">
        <w:rPr>
          <w:rFonts w:ascii="Arial" w:eastAsiaTheme="minorHAnsi" w:hAnsi="Arial" w:cs="Arial"/>
          <w:i/>
          <w:color w:val="000000" w:themeColor="text1"/>
        </w:rPr>
        <w:t>v Eur</w:t>
      </w:r>
      <w:r w:rsidR="00C205EC">
        <w:rPr>
          <w:rFonts w:ascii="Arial" w:eastAsiaTheme="minorHAnsi" w:hAnsi="Arial" w:cs="Arial"/>
          <w:i/>
          <w:color w:val="000000" w:themeColor="text1"/>
        </w:rPr>
        <w:t>)</w:t>
      </w:r>
    </w:p>
    <w:tbl>
      <w:tblPr>
        <w:tblStyle w:val="Mriekatabuky2"/>
        <w:tblW w:w="8818" w:type="dxa"/>
        <w:tblInd w:w="108" w:type="dxa"/>
        <w:tblLook w:val="04A0" w:firstRow="1" w:lastRow="0" w:firstColumn="1" w:lastColumn="0" w:noHBand="0" w:noVBand="1"/>
      </w:tblPr>
      <w:tblGrid>
        <w:gridCol w:w="2894"/>
        <w:gridCol w:w="1999"/>
        <w:gridCol w:w="1831"/>
        <w:gridCol w:w="2094"/>
      </w:tblGrid>
      <w:tr w:rsidR="00142B4E" w:rsidRPr="00142B4E" w14:paraId="5EDD130F" w14:textId="77777777" w:rsidTr="005F7F8E">
        <w:trPr>
          <w:trHeight w:hRule="exact" w:val="5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FCA9D1" w14:textId="77777777" w:rsidR="00142B4E" w:rsidRPr="00142B4E" w:rsidRDefault="00142B4E" w:rsidP="00142B4E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0B8C31" w14:textId="77777777" w:rsidR="00142B4E" w:rsidRPr="00142B4E" w:rsidRDefault="00142B4E" w:rsidP="00142B4E">
            <w:pPr>
              <w:jc w:val="center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b/>
                <w:lang w:eastAsia="sk-SK"/>
              </w:rPr>
              <w:t>Hlavná činnosť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50E28C3" w14:textId="77777777" w:rsidR="00142B4E" w:rsidRPr="00142B4E" w:rsidRDefault="00142B4E" w:rsidP="00142B4E">
            <w:pPr>
              <w:jc w:val="center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b/>
                <w:lang w:eastAsia="sk-SK"/>
              </w:rPr>
              <w:t>Podnikateľská činnosť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3EAF6F" w14:textId="77777777" w:rsidR="00142B4E" w:rsidRPr="00142B4E" w:rsidRDefault="00142B4E" w:rsidP="00142B4E">
            <w:pPr>
              <w:jc w:val="center"/>
              <w:rPr>
                <w:rFonts w:ascii="Arial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b/>
                <w:lang w:eastAsia="sk-SK"/>
              </w:rPr>
              <w:t>Spolu</w:t>
            </w:r>
          </w:p>
        </w:tc>
      </w:tr>
      <w:tr w:rsidR="00D45E40" w:rsidRPr="00142B4E" w14:paraId="3B184564" w14:textId="77777777" w:rsidTr="00D45E40">
        <w:trPr>
          <w:trHeight w:hRule="exact" w:val="30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0947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Filozofická fakulta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3DD90A" w14:textId="6D634CE5" w:rsidR="00D45E40" w:rsidRPr="00142B4E" w:rsidRDefault="00D45E40" w:rsidP="00D45E40">
            <w:pPr>
              <w:spacing w:line="360" w:lineRule="auto"/>
              <w:ind w:left="424" w:firstLine="154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148 276,89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C0BDA" w14:textId="20E17349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4 037,60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1FA561" w14:textId="1A47F4A4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152 314,49</w:t>
            </w:r>
          </w:p>
        </w:tc>
      </w:tr>
      <w:tr w:rsidR="00D45E40" w:rsidRPr="00142B4E" w14:paraId="3BED41DC" w14:textId="77777777" w:rsidTr="00D45E40">
        <w:trPr>
          <w:trHeight w:hRule="exact" w:val="27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E49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Pedagogická fakulta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44201" w14:textId="1589DA97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400 936,26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651840" w14:textId="04107052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1 981,16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01AB5" w14:textId="558102A8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402 917,42</w:t>
            </w:r>
          </w:p>
        </w:tc>
      </w:tr>
      <w:tr w:rsidR="00D45E40" w:rsidRPr="00142B4E" w14:paraId="5A868BD3" w14:textId="77777777" w:rsidTr="00D45E40">
        <w:trPr>
          <w:trHeight w:hRule="exact" w:val="28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5FEE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Fakulta zdrav. a soc. práce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E0F11E" w14:textId="64938DD2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156 589,15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8F0CED" w14:textId="05B1A121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283,73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FB1D8" w14:textId="514FC105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156 872,88</w:t>
            </w:r>
          </w:p>
        </w:tc>
      </w:tr>
      <w:tr w:rsidR="00D45E40" w:rsidRPr="00142B4E" w14:paraId="3B3E2001" w14:textId="77777777" w:rsidTr="00D45E40">
        <w:trPr>
          <w:trHeight w:hRule="exact" w:val="27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0E1E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Teologická fakulta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BD8764" w14:textId="0BB4AF9F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2 281,31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FFCFC8" w14:textId="0A7F3054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-66,87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31E4C" w14:textId="7BACBC6C" w:rsidR="00D45E40" w:rsidRPr="00142B4E" w:rsidRDefault="00D45E40" w:rsidP="00D45E40">
            <w:pPr>
              <w:spacing w:line="360" w:lineRule="auto"/>
              <w:ind w:left="720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2 214,44</w:t>
            </w:r>
          </w:p>
        </w:tc>
      </w:tr>
      <w:tr w:rsidR="00D45E40" w:rsidRPr="00142B4E" w14:paraId="20B534C7" w14:textId="77777777" w:rsidTr="00D45E40">
        <w:trPr>
          <w:trHeight w:hRule="exact" w:val="28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8A66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Právnická fakulta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F04233" w14:textId="2DC223AE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37 811,43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285B86" w14:textId="4C6DC8FA" w:rsidR="00D45E40" w:rsidRPr="00142B4E" w:rsidRDefault="00D45E40" w:rsidP="00D45E40">
            <w:pPr>
              <w:spacing w:line="360" w:lineRule="auto"/>
              <w:ind w:left="720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11 197,13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BD19C" w14:textId="2CC572BF" w:rsidR="00D45E40" w:rsidRPr="00142B4E" w:rsidRDefault="00D45E40" w:rsidP="00D45E40">
            <w:pPr>
              <w:spacing w:line="360" w:lineRule="auto"/>
              <w:ind w:left="720"/>
              <w:contextualSpacing/>
              <w:jc w:val="right"/>
              <w:rPr>
                <w:rFonts w:ascii="Arial" w:eastAsia="Calibri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49 008,56</w:t>
            </w:r>
          </w:p>
        </w:tc>
      </w:tr>
      <w:tr w:rsidR="00D45E40" w:rsidRPr="00142B4E" w14:paraId="5AD3FFB8" w14:textId="77777777" w:rsidTr="00D45E40">
        <w:trPr>
          <w:trHeight w:hRule="exact" w:val="28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675F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Študentský domov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A88061" w14:textId="0BDF978A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25 530,28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51CD0C" w14:textId="2AC3FD15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2 319,53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342DF6" w14:textId="2DCFD870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27 849,81</w:t>
            </w:r>
          </w:p>
        </w:tc>
      </w:tr>
      <w:tr w:rsidR="00D45E40" w:rsidRPr="00142B4E" w14:paraId="3A8C51A7" w14:textId="77777777" w:rsidTr="00D45E40">
        <w:trPr>
          <w:trHeight w:hRule="exact" w:val="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8B71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RTU a pracoviská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5D4D49" w14:textId="1BC54DFF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504 762,53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6ABE31" w14:textId="3BD0D570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30 800,22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F1B05" w14:textId="19AF0C5E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535 562,75</w:t>
            </w:r>
          </w:p>
        </w:tc>
      </w:tr>
      <w:tr w:rsidR="00D45E40" w:rsidRPr="00142B4E" w14:paraId="25C1FC43" w14:textId="77777777" w:rsidTr="00D45E40">
        <w:trPr>
          <w:trHeight w:hRule="exact" w:val="39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54E68" w14:textId="77777777" w:rsidR="00D45E40" w:rsidRPr="00142B4E" w:rsidRDefault="00D45E40" w:rsidP="00D45E40">
            <w:pPr>
              <w:rPr>
                <w:rFonts w:ascii="Arial" w:eastAsiaTheme="minorHAnsi" w:hAnsi="Arial" w:cs="Arial"/>
                <w:lang w:eastAsia="sk-SK"/>
              </w:rPr>
            </w:pPr>
            <w:r w:rsidRPr="00142B4E">
              <w:rPr>
                <w:rFonts w:ascii="Arial" w:eastAsiaTheme="minorHAnsi" w:hAnsi="Arial" w:cs="Arial"/>
                <w:lang w:eastAsia="sk-SK"/>
              </w:rPr>
              <w:t>TU spolu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3DC459" w14:textId="7B4DE056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1 276 187,85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A258A1" w14:textId="5598F61D" w:rsidR="00D45E40" w:rsidRPr="00142B4E" w:rsidRDefault="00D45E40" w:rsidP="00D45E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50 552,50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2F1193" w14:textId="56693BAD" w:rsidR="00D45E40" w:rsidRPr="00142B4E" w:rsidRDefault="00D45E40" w:rsidP="00544902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449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  <w:r w:rsidR="00544902">
              <w:rPr>
                <w:rFonts w:ascii="Calibri" w:hAnsi="Calibri" w:cs="Calibri"/>
                <w:color w:val="000000"/>
                <w:sz w:val="22"/>
                <w:szCs w:val="22"/>
              </w:rPr>
              <w:t> 740,35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740,35</w:t>
            </w:r>
          </w:p>
        </w:tc>
      </w:tr>
    </w:tbl>
    <w:p w14:paraId="1DF7513C" w14:textId="77777777" w:rsidR="00142B4E" w:rsidRPr="00142B4E" w:rsidRDefault="00142B4E" w:rsidP="00142B4E">
      <w:pPr>
        <w:spacing w:after="200" w:line="276" w:lineRule="auto"/>
        <w:ind w:firstLine="426"/>
        <w:jc w:val="both"/>
        <w:rPr>
          <w:rFonts w:ascii="Arial" w:eastAsiaTheme="minorHAnsi" w:hAnsi="Arial" w:cs="Arial"/>
        </w:rPr>
      </w:pPr>
    </w:p>
    <w:p w14:paraId="5911F916" w14:textId="5ACFA36A" w:rsidR="009D4192" w:rsidRDefault="00DF2464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Všetky fakulty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súčasti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348A">
        <w:rPr>
          <w:rFonts w:asciiTheme="minorHAnsi" w:hAnsiTheme="minorHAnsi" w:cstheme="minorHAnsi"/>
          <w:color w:val="000000" w:themeColor="text1"/>
          <w:sz w:val="22"/>
          <w:szCs w:val="22"/>
        </w:rPr>
        <w:t>univerzity vykázal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3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zisk. </w:t>
      </w:r>
    </w:p>
    <w:p w14:paraId="218D95E3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FBBF796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9161253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.4.1  Hlavná činnosť </w:t>
      </w:r>
    </w:p>
    <w:p w14:paraId="5EC9FC60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5E3E364" w14:textId="31DDE06A" w:rsidR="009D4192" w:rsidRPr="007A406B" w:rsidRDefault="00A8348A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D99594" w:themeColor="accent2" w:themeTint="99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 roku 202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v Trnave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zisk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nezdaňovanej činnosti vo výške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1 276 187,85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D4192"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7381E" w14:textId="49DA041D" w:rsidR="009D4192" w:rsidRPr="00A42529" w:rsidRDefault="009D4192" w:rsidP="009D419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E5080A2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583AC0AB" w14:textId="77777777" w:rsidR="00A46858" w:rsidRPr="00A42529" w:rsidRDefault="00A46858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163A75D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.4.2   Podnikateľská činnosť</w:t>
      </w:r>
    </w:p>
    <w:p w14:paraId="67184C76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E946242" w14:textId="5BA8AF99" w:rsidR="009D4192" w:rsidRPr="0001567C" w:rsidRDefault="009D4192" w:rsidP="0001567C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zisk zo zdaňovanej činnosti vo výške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50 552,50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Na tomto výsledku sa podieľali súčasti univerzity organizovaním domácich a medzinárodných konferencií, vzdelávacích kurzov, kurzov prípravy na prijímacie skúšky, výučbou jazykov, výberom nájomného za nebytové priestory, predajom odbornej literatúry,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príjmom za archeologický výskum, právnymi službami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, výskum v oblasti sociológie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B3A8E">
        <w:rPr>
          <w:rFonts w:asciiTheme="minorHAnsi" w:hAnsiTheme="minorHAnsi" w:cstheme="minorHAnsi"/>
          <w:sz w:val="22"/>
          <w:szCs w:val="22"/>
        </w:rPr>
        <w:t xml:space="preserve">a pod. V porovnaní s predchádzajúcim obdobím dosiahla univerzita  </w:t>
      </w:r>
      <w:r w:rsidR="00D45E40">
        <w:rPr>
          <w:rFonts w:asciiTheme="minorHAnsi" w:hAnsiTheme="minorHAnsi" w:cstheme="minorHAnsi"/>
          <w:sz w:val="22"/>
          <w:szCs w:val="22"/>
        </w:rPr>
        <w:t>vyšší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 o</w:t>
      </w:r>
      <w:r w:rsidR="00D45E40">
        <w:rPr>
          <w:rFonts w:asciiTheme="minorHAnsi" w:hAnsiTheme="minorHAnsi" w:cstheme="minorHAnsi"/>
          <w:sz w:val="22"/>
          <w:szCs w:val="22"/>
        </w:rPr>
        <w:t xml:space="preserve"> 29 486,60 </w:t>
      </w:r>
      <w:r w:rsidRPr="00114CCA">
        <w:rPr>
          <w:rFonts w:asciiTheme="minorHAnsi" w:hAnsiTheme="minorHAnsi" w:cstheme="minorHAnsi"/>
          <w:color w:val="D99594" w:themeColor="accent2" w:themeTint="99"/>
          <w:sz w:val="22"/>
          <w:szCs w:val="22"/>
        </w:rPr>
        <w:t xml:space="preserve"> </w:t>
      </w:r>
      <w:r w:rsidRPr="004B3A8E">
        <w:rPr>
          <w:rFonts w:asciiTheme="minorHAnsi" w:hAnsiTheme="minorHAnsi" w:cstheme="minorHAnsi"/>
          <w:sz w:val="22"/>
          <w:szCs w:val="22"/>
        </w:rPr>
        <w:t>Eur</w:t>
      </w:r>
      <w:r w:rsidR="00375B40">
        <w:rPr>
          <w:rFonts w:asciiTheme="minorHAnsi" w:hAnsiTheme="minorHAnsi" w:cstheme="minorHAnsi"/>
          <w:sz w:val="22"/>
          <w:szCs w:val="22"/>
        </w:rPr>
        <w:t>.</w:t>
      </w:r>
      <w:r w:rsidRPr="004B3A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A2F673" w14:textId="77777777" w:rsidR="00EF444B" w:rsidRDefault="00EF444B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0B35D96" w14:textId="77777777" w:rsidR="006110D0" w:rsidRDefault="006110D0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7BC0E56" w14:textId="13D8B464" w:rsidR="005C68DF" w:rsidRDefault="00927867" w:rsidP="005C68DF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ANALÝZA VÝNOSOV A</w:t>
      </w:r>
      <w:r w:rsidR="00C75273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 </w:t>
      </w: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NÁKLADOV</w:t>
      </w:r>
    </w:p>
    <w:p w14:paraId="624954D6" w14:textId="77777777" w:rsidR="00C75273" w:rsidRPr="00A42529" w:rsidRDefault="00C75273" w:rsidP="00C75273">
      <w:pPr>
        <w:pStyle w:val="Odsekzoznamu"/>
        <w:ind w:left="284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3B543C8E" w14:textId="48797DB3" w:rsidR="00EF444B" w:rsidRDefault="00EF444B" w:rsidP="001776E3">
      <w:pPr>
        <w:pStyle w:val="Odsekzoznamu"/>
        <w:numPr>
          <w:ilvl w:val="1"/>
          <w:numId w:val="10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374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Analýza </w:t>
      </w:r>
      <w:r w:rsidR="00C873C9" w:rsidRPr="00CC374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príjmov</w:t>
      </w:r>
    </w:p>
    <w:p w14:paraId="52D4411C" w14:textId="77777777" w:rsidR="00131D8A" w:rsidRPr="001A1B58" w:rsidRDefault="00131D8A" w:rsidP="00131D8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Príjmy verejných vysokých škôl sa členia na nasledovné skupiny:</w:t>
      </w:r>
    </w:p>
    <w:p w14:paraId="33D2B886" w14:textId="77777777" w:rsidR="00131D8A" w:rsidRPr="001A1B58" w:rsidRDefault="00131D8A" w:rsidP="00131D8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DAEFE" w14:textId="77777777" w:rsidR="00131D8A" w:rsidRPr="001A1B58" w:rsidRDefault="00131D8A" w:rsidP="00131D8A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a) príjmy z dotácií verejnej vysokej školy zo štátneho rozpočtu z kapitoly </w:t>
      </w:r>
      <w:proofErr w:type="spellStart"/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MŠVVa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</w:t>
      </w:r>
      <w:proofErr w:type="spellEnd"/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SR poskytnuté na základe Zmluvy o poskytnutí dotácie zo štátneho rozpočtu prostredníctvom rozpočtu Ministerstva školstva, výskumu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vývoja a mládeže</w:t>
      </w:r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SR na rok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FD2F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 programe 077</w:t>
      </w:r>
    </w:p>
    <w:p w14:paraId="602F1698" w14:textId="77777777" w:rsidR="00131D8A" w:rsidRPr="001A1B58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82BAA3" w14:textId="77777777" w:rsidR="00131D8A" w:rsidRPr="00656994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FD2F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poskytnuté TU v Trnave v rámci </w:t>
      </w:r>
      <w:r w:rsidRPr="00FD2F2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dotačnej zmluvy na rok 202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4</w:t>
      </w:r>
      <w:r w:rsidRPr="00C3025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C30256">
        <w:rPr>
          <w:rFonts w:asciiTheme="minorHAnsi" w:hAnsiTheme="minorHAnsi" w:cstheme="minorHAnsi"/>
          <w:color w:val="000000" w:themeColor="text1"/>
          <w:sz w:val="22"/>
          <w:szCs w:val="22"/>
        </w:rPr>
        <w:t>Prehľad o štruktúre a objeme dotačných zdrojov udáva tabuľka č.1 výročnej správy.</w:t>
      </w:r>
    </w:p>
    <w:p w14:paraId="773EA487" w14:textId="77777777" w:rsidR="00131D8A" w:rsidRPr="00656994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Celkový objem </w:t>
      </w:r>
      <w:r w:rsidRPr="0006662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bežnej dotácie, 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ktorú univerzita prijala z kapitoly </w:t>
      </w:r>
      <w:proofErr w:type="spellStart"/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>MŠVVa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proofErr w:type="spellEnd"/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 predstavovala </w:t>
      </w:r>
      <w:r w:rsidRPr="009B6F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18 830 136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66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 programovej štruktúre dominovali finančné prostriedky určené na zabezpečenie uskutočňovania akreditovaných študijných programov a zabezpečenie prevádzky verejných vysokých škôl, ktorých výška z bežnej dotácie 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12 680 633 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>Eur (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67,34</w:t>
      </w:r>
      <w:r w:rsidRPr="0006662C">
        <w:rPr>
          <w:rFonts w:asciiTheme="minorHAnsi" w:hAnsiTheme="minorHAnsi" w:cstheme="minorHAnsi"/>
          <w:color w:val="000000" w:themeColor="text1"/>
          <w:sz w:val="22"/>
          <w:szCs w:val="22"/>
        </w:rPr>
        <w:t>%).</w:t>
      </w:r>
    </w:p>
    <w:p w14:paraId="393ABA6A" w14:textId="77777777" w:rsidR="00131D8A" w:rsidRPr="00067645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7645">
        <w:rPr>
          <w:rFonts w:asciiTheme="minorHAnsi" w:hAnsiTheme="minorHAnsi" w:cstheme="minorHAnsi"/>
          <w:color w:val="000000" w:themeColor="text1"/>
          <w:sz w:val="22"/>
          <w:szCs w:val="22"/>
        </w:rPr>
        <w:t>Nasledujú:</w:t>
      </w:r>
    </w:p>
    <w:p w14:paraId="1D0E5997" w14:textId="77777777" w:rsidR="00131D8A" w:rsidRPr="00067645" w:rsidRDefault="00131D8A" w:rsidP="00131D8A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067645">
        <w:rPr>
          <w:rFonts w:asciiTheme="minorHAnsi" w:hAnsiTheme="minorHAnsi" w:cstheme="minorHAnsi"/>
          <w:color w:val="000000" w:themeColor="text1"/>
        </w:rPr>
        <w:t>dotácia na</w:t>
      </w:r>
      <w:r>
        <w:rPr>
          <w:rFonts w:asciiTheme="minorHAnsi" w:hAnsiTheme="minorHAnsi" w:cstheme="minorHAnsi"/>
          <w:color w:val="000000" w:themeColor="text1"/>
        </w:rPr>
        <w:t xml:space="preserve"> výskumnú, vývojovú alebo umeleckú činnosť: 5 279 423 </w:t>
      </w:r>
      <w:r w:rsidRPr="00067645">
        <w:rPr>
          <w:rFonts w:asciiTheme="minorHAnsi" w:hAnsiTheme="minorHAnsi" w:cstheme="minorHAnsi"/>
          <w:color w:val="000000" w:themeColor="text1"/>
        </w:rPr>
        <w:t>Eur (</w:t>
      </w:r>
      <w:r>
        <w:rPr>
          <w:rFonts w:asciiTheme="minorHAnsi" w:hAnsiTheme="minorHAnsi" w:cstheme="minorHAnsi"/>
          <w:color w:val="000000" w:themeColor="text1"/>
        </w:rPr>
        <w:t>28,04</w:t>
      </w:r>
      <w:r w:rsidRPr="00067645">
        <w:rPr>
          <w:rFonts w:asciiTheme="minorHAnsi" w:hAnsiTheme="minorHAnsi" w:cstheme="minorHAnsi"/>
          <w:color w:val="000000" w:themeColor="text1"/>
        </w:rPr>
        <w:t xml:space="preserve"> %),</w:t>
      </w:r>
    </w:p>
    <w:p w14:paraId="4A8FAA9B" w14:textId="77777777" w:rsidR="00131D8A" w:rsidRDefault="00131D8A" w:rsidP="00131D8A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067645">
        <w:rPr>
          <w:rFonts w:asciiTheme="minorHAnsi" w:hAnsiTheme="minorHAnsi" w:cstheme="minorHAnsi"/>
          <w:color w:val="000000" w:themeColor="text1"/>
        </w:rPr>
        <w:t xml:space="preserve">dotácia na sociálnu podporu študentov verejnej vysokej školy: </w:t>
      </w:r>
      <w:r>
        <w:rPr>
          <w:rFonts w:asciiTheme="minorHAnsi" w:hAnsiTheme="minorHAnsi" w:cstheme="minorHAnsi"/>
          <w:color w:val="000000" w:themeColor="text1"/>
        </w:rPr>
        <w:t xml:space="preserve">790 081 </w:t>
      </w:r>
      <w:r w:rsidRPr="00067645">
        <w:rPr>
          <w:rFonts w:asciiTheme="minorHAnsi" w:hAnsiTheme="minorHAnsi" w:cstheme="minorHAnsi"/>
          <w:color w:val="000000" w:themeColor="text1"/>
        </w:rPr>
        <w:t>Eur (</w:t>
      </w:r>
      <w:r>
        <w:rPr>
          <w:rFonts w:asciiTheme="minorHAnsi" w:hAnsiTheme="minorHAnsi" w:cstheme="minorHAnsi"/>
          <w:color w:val="000000" w:themeColor="text1"/>
        </w:rPr>
        <w:t>4,20</w:t>
      </w:r>
      <w:r w:rsidRPr="00067645">
        <w:rPr>
          <w:rFonts w:asciiTheme="minorHAnsi" w:hAnsiTheme="minorHAnsi" w:cstheme="minorHAnsi"/>
          <w:color w:val="000000" w:themeColor="text1"/>
        </w:rPr>
        <w:t xml:space="preserve"> %)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490D15B" w14:textId="77777777" w:rsidR="00131D8A" w:rsidRDefault="00131D8A" w:rsidP="00131D8A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dotácia na Národnú stratégiu vedy, výskumu a inovácií: 79 999 Eur (0,42 %).</w:t>
      </w:r>
    </w:p>
    <w:p w14:paraId="42BC49C1" w14:textId="77777777" w:rsidR="00131D8A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645B5" w14:textId="77777777" w:rsidR="00131D8A" w:rsidRPr="003D14C2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3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Celková výška </w:t>
      </w:r>
      <w:r w:rsidRPr="00743F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kapitálovej dotácie</w:t>
      </w:r>
      <w:r w:rsidRPr="00743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predstavuje čiastku </w:t>
      </w:r>
      <w:r w:rsidRPr="00743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743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0 000 Eur</w:t>
      </w:r>
      <w:r w:rsidRPr="003D14C2">
        <w:rPr>
          <w:rFonts w:asciiTheme="minorHAnsi" w:hAnsiTheme="minorHAnsi" w:cstheme="minorHAnsi"/>
          <w:color w:val="000000" w:themeColor="text1"/>
          <w:sz w:val="22"/>
          <w:szCs w:val="22"/>
        </w:rPr>
        <w:t>. Ide o účelovo pridelené finančné prostriedky na realizáciu nasledovného:</w:t>
      </w:r>
    </w:p>
    <w:p w14:paraId="0A8D0D5E" w14:textId="77777777" w:rsidR="00131D8A" w:rsidRDefault="00131D8A" w:rsidP="00131D8A">
      <w:pPr>
        <w:pStyle w:val="Odsekzoznamu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257593">
        <w:rPr>
          <w:rFonts w:asciiTheme="minorHAnsi" w:hAnsiTheme="minorHAnsi" w:cstheme="minorHAnsi"/>
          <w:color w:val="000000" w:themeColor="text1"/>
        </w:rPr>
        <w:t xml:space="preserve">Stavebné úpravy a modernizácia technických zariadení budovy </w:t>
      </w:r>
      <w:proofErr w:type="spellStart"/>
      <w:r w:rsidRPr="00257593">
        <w:rPr>
          <w:rFonts w:asciiTheme="minorHAnsi" w:hAnsiTheme="minorHAnsi" w:cstheme="minorHAnsi"/>
          <w:color w:val="000000" w:themeColor="text1"/>
        </w:rPr>
        <w:t>PdF</w:t>
      </w:r>
      <w:proofErr w:type="spellEnd"/>
      <w:r>
        <w:rPr>
          <w:rFonts w:asciiTheme="minorHAnsi" w:hAnsiTheme="minorHAnsi" w:cstheme="minorHAnsi"/>
          <w:color w:val="000000" w:themeColor="text1"/>
        </w:rPr>
        <w:t>,</w:t>
      </w:r>
      <w:r w:rsidRPr="00257593">
        <w:rPr>
          <w:rFonts w:asciiTheme="minorHAnsi" w:hAnsiTheme="minorHAnsi" w:cstheme="minorHAnsi"/>
          <w:color w:val="000000" w:themeColor="text1"/>
        </w:rPr>
        <w:t xml:space="preserve"> TVU  Trnav</w:t>
      </w:r>
      <w:r>
        <w:rPr>
          <w:rFonts w:asciiTheme="minorHAnsi" w:hAnsiTheme="minorHAnsi" w:cstheme="minorHAnsi"/>
          <w:color w:val="000000" w:themeColor="text1"/>
        </w:rPr>
        <w:t xml:space="preserve">a </w:t>
      </w:r>
      <w:r w:rsidRPr="00257593">
        <w:rPr>
          <w:rFonts w:asciiTheme="minorHAnsi" w:hAnsiTheme="minorHAnsi" w:cstheme="minorHAnsi"/>
          <w:color w:val="000000" w:themeColor="text1"/>
        </w:rPr>
        <w:t>(register investícií 41493) 2</w:t>
      </w:r>
      <w:r>
        <w:rPr>
          <w:rFonts w:asciiTheme="minorHAnsi" w:hAnsiTheme="minorHAnsi" w:cstheme="minorHAnsi"/>
          <w:color w:val="000000" w:themeColor="text1"/>
        </w:rPr>
        <w:t>0</w:t>
      </w:r>
      <w:r w:rsidRPr="00257593">
        <w:rPr>
          <w:rFonts w:asciiTheme="minorHAnsi" w:hAnsiTheme="minorHAnsi" w:cstheme="minorHAnsi"/>
          <w:color w:val="000000" w:themeColor="text1"/>
        </w:rPr>
        <w:t>0 000 Eur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046961B" w14:textId="77777777" w:rsidR="00131D8A" w:rsidRPr="00257593" w:rsidRDefault="00131D8A" w:rsidP="00131D8A">
      <w:pPr>
        <w:pStyle w:val="Odsekzoznamu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Rekonštrukcia kancelárie kvestora TU (register investícií 51034) 40 000 Eur.</w:t>
      </w:r>
    </w:p>
    <w:p w14:paraId="0EF9642D" w14:textId="77777777" w:rsidR="00131D8A" w:rsidRDefault="00131D8A" w:rsidP="00131D8A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84C813" w14:textId="77777777" w:rsidR="00131D8A" w:rsidRPr="009E7CB0" w:rsidRDefault="00131D8A" w:rsidP="00131D8A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7C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b) príjmy z dotácií verejnej vysokej škole zo štátneho rozpočtu z kapitoly </w:t>
      </w:r>
      <w:proofErr w:type="spellStart"/>
      <w:r w:rsidRPr="009E7C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MŠVVaM</w:t>
      </w:r>
      <w:proofErr w:type="spellEnd"/>
      <w:r w:rsidRPr="009E7C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SR poskytnuté mimo programu 077 a mimo príjmov z prostriedkov EÚ (štrukturálnych fondov) v roku 2024</w:t>
      </w:r>
    </w:p>
    <w:p w14:paraId="50FC3D72" w14:textId="77777777" w:rsidR="00131D8A" w:rsidRPr="006F5F3E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  <w:highlight w:val="cyan"/>
        </w:rPr>
      </w:pPr>
    </w:p>
    <w:p w14:paraId="77CE0F42" w14:textId="77777777" w:rsidR="00131D8A" w:rsidRPr="00633214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z kapitoly </w:t>
      </w:r>
      <w:proofErr w:type="spellStart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>MŠVVaM</w:t>
      </w:r>
      <w:proofErr w:type="spellEnd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 poskytnuté mimo programu 077 a okrem prostriedkov zo štrukturálnych fondov EÚ.</w:t>
      </w:r>
    </w:p>
    <w:p w14:paraId="372C56CE" w14:textId="77777777" w:rsidR="00131D8A" w:rsidRPr="00633214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Konkrétne ide o dotácie poskytnuté na riešenie výskumných projektov TU v Trnave z kapitoly </w:t>
      </w:r>
      <w:proofErr w:type="spellStart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>MŠVVaM</w:t>
      </w:r>
      <w:proofErr w:type="spellEnd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 na projekty APVV,  dotácií na zabezpečenie mobilít v súlade s medzinárodnými zmluvami (dotácie poskytnuté na zabezpečenie štúdia a úhradu štipendií zahraničným študentom v zmysle osobitných zmlúv </w:t>
      </w:r>
      <w:proofErr w:type="spellStart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>MŠVVaM</w:t>
      </w:r>
      <w:proofErr w:type="spellEnd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SR) a dotácie na štipendiá talentovaných a znevýhodnených študentov. Celkový objem predstavuje výšku </w:t>
      </w:r>
      <w:r w:rsidRPr="00FE5B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503 277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332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</w:t>
      </w:r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bookmarkStart w:id="4" w:name="_Hlk132111203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>Prehľad podľa programovej štruktúry je uvedený v tabuľke číslo  18</w:t>
      </w:r>
      <w:bookmarkEnd w:id="4"/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>. Ide o:</w:t>
      </w:r>
    </w:p>
    <w:p w14:paraId="3B0AF22E" w14:textId="77777777" w:rsidR="00131D8A" w:rsidRPr="00633214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633214">
        <w:rPr>
          <w:rFonts w:asciiTheme="minorHAnsi" w:hAnsiTheme="minorHAnsi" w:cstheme="minorHAnsi"/>
          <w:color w:val="000000" w:themeColor="text1"/>
        </w:rPr>
        <w:t>Podprogram 06K 11 Úlohy výskumu a vývoja podporované Agentúrou na podporu výskumu a vývoja vo výške 468 877 Eur,</w:t>
      </w:r>
    </w:p>
    <w:p w14:paraId="2DF9A448" w14:textId="77777777" w:rsidR="00131D8A" w:rsidRPr="00633214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633214">
        <w:rPr>
          <w:rFonts w:asciiTheme="minorHAnsi" w:hAnsiTheme="minorHAnsi" w:cstheme="minorHAnsi"/>
          <w:color w:val="000000" w:themeColor="text1"/>
        </w:rPr>
        <w:t>Podprogram 05T 08 Oficiálna rozvojová pomoc vo výške 34 400 Eur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D202244" w14:textId="77777777" w:rsidR="00131D8A" w:rsidRDefault="00131D8A" w:rsidP="00131D8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4CF68D0" w14:textId="77777777" w:rsidR="00131D8A" w:rsidRDefault="00131D8A" w:rsidP="00131D8A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3F4D2CD" w14:textId="77777777" w:rsidR="00131D8A" w:rsidRDefault="00131D8A" w:rsidP="00131D8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5B93">
        <w:rPr>
          <w:rFonts w:asciiTheme="minorHAnsi" w:hAnsiTheme="minorHAnsi" w:cstheme="minorHAnsi"/>
          <w:b/>
          <w:color w:val="000000" w:themeColor="text1"/>
        </w:rPr>
        <w:t>c)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E5B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príjmy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 prostriedkov Plánu obnovy a odolnosti z kapitoly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MŠVVaM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SR a z iných kapitol v roku 2024</w:t>
      </w:r>
    </w:p>
    <w:p w14:paraId="3247B0C8" w14:textId="77777777" w:rsidR="00131D8A" w:rsidRDefault="00131D8A" w:rsidP="00131D8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55A5E0" w14:textId="77777777" w:rsidR="00131D8A" w:rsidRPr="00633214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cyan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z prostriedkov Plánu obnovy a odolnosti z kapitoly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MŠVVaM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 a z iných kapitol. Celkový objem bežnej dotácie predstavoval výšku 941 241 Eur. </w:t>
      </w:r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>Prehľad podľa programovej štruktúry je uvedený v tabuľke číslo 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Ide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napríklad </w:t>
      </w:r>
      <w:r w:rsidRPr="00633214">
        <w:rPr>
          <w:rFonts w:asciiTheme="minorHAnsi" w:hAnsiTheme="minorHAnsi" w:cstheme="minorHAnsi"/>
          <w:color w:val="000000" w:themeColor="text1"/>
          <w:sz w:val="22"/>
          <w:szCs w:val="22"/>
        </w:rPr>
        <w:t>o:</w:t>
      </w:r>
    </w:p>
    <w:p w14:paraId="07C94537" w14:textId="77777777" w:rsidR="00131D8A" w:rsidRPr="00FE5B93" w:rsidRDefault="00131D8A" w:rsidP="00131D8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F71035B" w14:textId="77777777" w:rsidR="00131D8A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633214">
        <w:rPr>
          <w:rFonts w:asciiTheme="minorHAnsi" w:hAnsiTheme="minorHAnsi" w:cstheme="minorHAnsi"/>
          <w:color w:val="000000" w:themeColor="text1"/>
        </w:rPr>
        <w:t>Motivačné štipendiá z prostriedkov Plánu obnovy a odolnosti vo výške 435 000 Eur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D9A92A0" w14:textId="77777777" w:rsidR="00131D8A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projekt Medzinárodné vzdelávacie podujatie APAIE Perth,</w:t>
      </w:r>
    </w:p>
    <w:p w14:paraId="6DF7D26C" w14:textId="77777777" w:rsidR="00131D8A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projekt Audit internacionalizácie,</w:t>
      </w:r>
    </w:p>
    <w:p w14:paraId="57507251" w14:textId="77777777" w:rsidR="00131D8A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projekt Medzinárodné vzdelávacie podujatie NAFSA 2024,</w:t>
      </w:r>
    </w:p>
    <w:p w14:paraId="443E7BA5" w14:textId="77777777" w:rsidR="00131D8A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projekt Regionálne  centrum podpory učiteľom.</w:t>
      </w:r>
    </w:p>
    <w:p w14:paraId="2C1A4A33" w14:textId="77777777" w:rsidR="00131D8A" w:rsidRPr="00633214" w:rsidRDefault="00131D8A" w:rsidP="00131D8A">
      <w:pPr>
        <w:pStyle w:val="Odsekzoznamu"/>
        <w:ind w:left="851"/>
        <w:jc w:val="both"/>
        <w:rPr>
          <w:rFonts w:asciiTheme="minorHAnsi" w:hAnsiTheme="minorHAnsi" w:cstheme="minorHAnsi"/>
          <w:color w:val="000000" w:themeColor="text1"/>
        </w:rPr>
      </w:pPr>
    </w:p>
    <w:p w14:paraId="079D5787" w14:textId="77777777" w:rsidR="00131D8A" w:rsidRPr="009E7CB0" w:rsidRDefault="00131D8A" w:rsidP="00131D8A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Pr="009E7C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 príjmy verejnej vysokej školy z prostriedkov EÚ (štrukturálnych fondov) a z prostriedkov na ich spolufinancovanie zo štátneho rozpočtu v roku 2024</w:t>
      </w:r>
    </w:p>
    <w:p w14:paraId="3A339715" w14:textId="77777777" w:rsidR="00131D8A" w:rsidRPr="006F5F3E" w:rsidRDefault="00131D8A" w:rsidP="00131D8A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highlight w:val="cyan"/>
        </w:rPr>
      </w:pPr>
    </w:p>
    <w:p w14:paraId="6837CD94" w14:textId="77777777" w:rsidR="00131D8A" w:rsidRPr="009E7CB0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7CB0">
        <w:rPr>
          <w:rFonts w:asciiTheme="minorHAnsi" w:hAnsiTheme="minorHAnsi" w:cstheme="minorHAnsi"/>
          <w:color w:val="000000" w:themeColor="text1"/>
          <w:sz w:val="22"/>
          <w:szCs w:val="22"/>
        </w:rPr>
        <w:t>Prehľad podľa zdrojov je uvedený v tabuľke číslo 17.  TU v Trnave bola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9E7C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poskytnutá dotácia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celkovej výške 513 628 Eur</w:t>
      </w:r>
      <w:r w:rsidRPr="009E7C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financovanie projektov z: </w:t>
      </w:r>
    </w:p>
    <w:p w14:paraId="3FD69583" w14:textId="77777777" w:rsidR="00131D8A" w:rsidRPr="00FE5B93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FE5B93">
        <w:rPr>
          <w:rFonts w:asciiTheme="minorHAnsi" w:hAnsiTheme="minorHAnsi" w:cstheme="minorHAnsi"/>
          <w:color w:val="000000" w:themeColor="text1"/>
        </w:rPr>
        <w:t>Európskeho fondu regionálneho rozvoja vo výške 468 330 Eur (vrátane prostriedkov spolufinancovania),</w:t>
      </w:r>
    </w:p>
    <w:p w14:paraId="263287E7" w14:textId="77777777" w:rsidR="00131D8A" w:rsidRPr="00FE5B93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FE5B93">
        <w:rPr>
          <w:rFonts w:asciiTheme="minorHAnsi" w:hAnsiTheme="minorHAnsi" w:cstheme="minorHAnsi"/>
          <w:color w:val="000000" w:themeColor="text1"/>
        </w:rPr>
        <w:t>Európskeho sociálneho fondu vo výške 13 647 Eur (vrátane prostriedkov spolufinancovania),</w:t>
      </w:r>
    </w:p>
    <w:p w14:paraId="7B945D11" w14:textId="77777777" w:rsidR="00131D8A" w:rsidRPr="00FE5B93" w:rsidRDefault="00131D8A" w:rsidP="00131D8A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FE5B93">
        <w:rPr>
          <w:rFonts w:asciiTheme="minorHAnsi" w:hAnsiTheme="minorHAnsi" w:cstheme="minorHAnsi"/>
          <w:color w:val="000000" w:themeColor="text1"/>
        </w:rPr>
        <w:t xml:space="preserve">Európskej územnej spolupráce vo výške 31 651 Eur (vrátane prostriedkov spolufinancovania). </w:t>
      </w:r>
    </w:p>
    <w:p w14:paraId="05C33F34" w14:textId="77777777" w:rsidR="00131D8A" w:rsidRPr="006F5F3E" w:rsidRDefault="00131D8A" w:rsidP="00131D8A">
      <w:pPr>
        <w:pStyle w:val="Odsekzoznamu"/>
        <w:ind w:left="851"/>
        <w:jc w:val="both"/>
        <w:rPr>
          <w:rFonts w:asciiTheme="minorHAnsi" w:hAnsiTheme="minorHAnsi" w:cstheme="minorHAnsi"/>
          <w:color w:val="FF0000"/>
        </w:rPr>
      </w:pPr>
    </w:p>
    <w:p w14:paraId="2E5C6244" w14:textId="77777777" w:rsidR="00131D8A" w:rsidRPr="00BA7AC2" w:rsidRDefault="00131D8A" w:rsidP="00131D8A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Pr="00BA7A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) príjmy verejnej vysokej školy v roku 2024 majúce charakter dotácie okrem príjmov z dotácií z kapitoly </w:t>
      </w:r>
      <w:proofErr w:type="spellStart"/>
      <w:r w:rsidRPr="00BA7A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MŠVVaM</w:t>
      </w:r>
      <w:proofErr w:type="spellEnd"/>
      <w:r w:rsidRPr="00BA7A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 okrem prostriedkov EÚ (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štrukturílne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fondy)</w:t>
      </w:r>
    </w:p>
    <w:p w14:paraId="2932A345" w14:textId="77777777" w:rsidR="00131D8A" w:rsidRPr="006F5F3E" w:rsidRDefault="00131D8A" w:rsidP="00131D8A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6AE5C5F" w14:textId="77777777" w:rsidR="00131D8A" w:rsidRPr="004E0674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Prehľad príjmov dotačného charakteru z iných kapitol štátneho rozpočtu a ostatných domácich a zahraničných príjmov je uvedený v tabuľke číslo 2. </w:t>
      </w:r>
      <w:r w:rsidRPr="004E06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Celkový objem bežných dotácií dosiahol </w:t>
      </w:r>
    </w:p>
    <w:p w14:paraId="3A1A54DF" w14:textId="77777777" w:rsidR="00131D8A" w:rsidRPr="004E0674" w:rsidRDefault="00131D8A" w:rsidP="00131D8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06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1 258 705 Eur</w:t>
      </w:r>
      <w:r w:rsidRPr="004E067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E06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1F36B6DF" w14:textId="77777777" w:rsidR="00131D8A" w:rsidRPr="006F5F3E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1243E9" w14:textId="77777777" w:rsidR="00131D8A" w:rsidRPr="0095407B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40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z dotácií štátneho rozpočtu okrem kapitoly </w:t>
      </w:r>
      <w:proofErr w:type="spellStart"/>
      <w:r w:rsidRPr="0095407B">
        <w:rPr>
          <w:rFonts w:asciiTheme="minorHAnsi" w:hAnsiTheme="minorHAnsi" w:cstheme="minorHAnsi"/>
          <w:color w:val="000000" w:themeColor="text1"/>
          <w:sz w:val="22"/>
          <w:szCs w:val="22"/>
        </w:rPr>
        <w:t>MŠVVaM</w:t>
      </w:r>
      <w:proofErr w:type="spellEnd"/>
      <w:r w:rsidRPr="009540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SR, vo výške 155 231 Eur. Ide o projekty:</w:t>
      </w:r>
    </w:p>
    <w:p w14:paraId="04C3EC48" w14:textId="77777777" w:rsidR="00131D8A" w:rsidRPr="00A022B0" w:rsidRDefault="00131D8A" w:rsidP="00131D8A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022B0">
        <w:rPr>
          <w:rFonts w:asciiTheme="minorHAnsi" w:hAnsiTheme="minorHAnsi" w:cstheme="minorHAnsi"/>
          <w:color w:val="000000" w:themeColor="text1"/>
        </w:rPr>
        <w:t>TU v Trnave ako spoluriešiteľ na APVV projektoch (97 076 Eur),</w:t>
      </w:r>
    </w:p>
    <w:p w14:paraId="6B4C4731" w14:textId="77777777" w:rsidR="00131D8A" w:rsidRPr="00A92089" w:rsidRDefault="00131D8A" w:rsidP="00131D8A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92089">
        <w:rPr>
          <w:rFonts w:asciiTheme="minorHAnsi" w:hAnsiTheme="minorHAnsi" w:cstheme="minorHAnsi"/>
          <w:color w:val="000000" w:themeColor="text1"/>
        </w:rPr>
        <w:t>Dotácia MH SR na pokrytie dodatočných nákladov v dôsledku zvýšených cien plynu a elektriny (58 155 Eur)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854161D" w14:textId="77777777" w:rsidR="00131D8A" w:rsidRPr="004606A6" w:rsidRDefault="00131D8A" w:rsidP="00131D8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6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Ďalej ide o príjmy z dotácie z rozpočtov obcí a z rozpočtov vyšších územných celkov vo výške 1  500 Eur, ostatné domáce príjmy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charakterom dotácie </w:t>
      </w:r>
      <w:r w:rsidRPr="004606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 výške 30 640 Eur a príjmy zo zahraničných projektov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majúce charakter dotácie </w:t>
      </w:r>
      <w:r w:rsidRPr="004606A6">
        <w:rPr>
          <w:rFonts w:asciiTheme="minorHAnsi" w:hAnsiTheme="minorHAnsi" w:cstheme="minorHAnsi"/>
          <w:color w:val="000000" w:themeColor="text1"/>
          <w:sz w:val="22"/>
          <w:szCs w:val="22"/>
        </w:rPr>
        <w:t>vo výške 1 071 33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606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744D575E" w14:textId="77777777" w:rsidR="00131D8A" w:rsidRPr="00131D8A" w:rsidRDefault="00131D8A" w:rsidP="00131D8A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FD5D346" w14:textId="77777777" w:rsidR="00CC374B" w:rsidRPr="00CC374B" w:rsidRDefault="00CC374B" w:rsidP="00CC374B">
      <w:pPr>
        <w:pStyle w:val="Odsekzoznamu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E0A33FE" w14:textId="1E9A8B77" w:rsidR="00CC374B" w:rsidRPr="00CC374B" w:rsidRDefault="00CC374B" w:rsidP="007757E3">
      <w:pPr>
        <w:pStyle w:val="Odsekzoznamu"/>
        <w:numPr>
          <w:ilvl w:val="1"/>
          <w:numId w:val="10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Analýza výnosov</w:t>
      </w:r>
    </w:p>
    <w:p w14:paraId="29A3E290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F377306" w14:textId="21B36B1A"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EE4C5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8B606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Analýza výnosov z 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činnosti</w:t>
      </w:r>
    </w:p>
    <w:p w14:paraId="5D44764F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67B9954" w14:textId="5A6FBA34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Základným a najväčším zdrojom príjmov Trnavskej univerzity v roku 20</w:t>
      </w:r>
      <w:r w:rsidR="00003F2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14:paraId="6EB6032E" w14:textId="0EA5C376" w:rsidR="00EF444B" w:rsidRPr="00841886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univerzity z </w:t>
      </w:r>
      <w:r w:rsidR="002F370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celkom dosiahli </w:t>
      </w:r>
      <w:r w:rsidRPr="00841886">
        <w:rPr>
          <w:rFonts w:asciiTheme="minorHAnsi" w:hAnsiTheme="minorHAnsi" w:cstheme="minorHAnsi"/>
          <w:sz w:val="22"/>
          <w:szCs w:val="22"/>
        </w:rPr>
        <w:t xml:space="preserve">sumu </w:t>
      </w:r>
      <w:r w:rsidR="00D45E40">
        <w:rPr>
          <w:rFonts w:asciiTheme="minorHAnsi" w:hAnsiTheme="minorHAnsi" w:cstheme="minorHAnsi"/>
          <w:sz w:val="22"/>
          <w:szCs w:val="22"/>
        </w:rPr>
        <w:t>24 489 572,10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Eur, čo predstavuje </w:t>
      </w:r>
      <w:r w:rsidRPr="00841886">
        <w:rPr>
          <w:rFonts w:asciiTheme="minorHAnsi" w:hAnsiTheme="minorHAnsi" w:cstheme="minorHAnsi"/>
          <w:sz w:val="22"/>
          <w:szCs w:val="22"/>
        </w:rPr>
        <w:t>zvýšenie o</w:t>
      </w:r>
      <w:r w:rsidR="00D45E40">
        <w:rPr>
          <w:rFonts w:asciiTheme="minorHAnsi" w:hAnsiTheme="minorHAnsi" w:cstheme="minorHAnsi"/>
          <w:sz w:val="22"/>
          <w:szCs w:val="22"/>
        </w:rPr>
        <w:t> 3 116 381,09</w:t>
      </w:r>
      <w:r w:rsidRPr="00841886">
        <w:rPr>
          <w:rFonts w:asciiTheme="minorHAnsi" w:hAnsiTheme="minorHAnsi" w:cstheme="minorHAnsi"/>
          <w:sz w:val="22"/>
          <w:szCs w:val="22"/>
        </w:rPr>
        <w:t xml:space="preserve"> Eur v porovnaní s rokom 20</w:t>
      </w:r>
      <w:r w:rsidR="00B80208">
        <w:rPr>
          <w:rFonts w:asciiTheme="minorHAnsi" w:hAnsiTheme="minorHAnsi" w:cstheme="minorHAnsi"/>
          <w:sz w:val="22"/>
          <w:szCs w:val="22"/>
        </w:rPr>
        <w:t>2</w:t>
      </w:r>
      <w:r w:rsidR="00D45E40">
        <w:rPr>
          <w:rFonts w:asciiTheme="minorHAnsi" w:hAnsiTheme="minorHAnsi" w:cstheme="minorHAnsi"/>
          <w:sz w:val="22"/>
          <w:szCs w:val="22"/>
        </w:rPr>
        <w:t>3</w:t>
      </w:r>
      <w:r w:rsidRPr="0084188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7A4E97B" w14:textId="77777777" w:rsidR="00EF444B" w:rsidRPr="00A42529" w:rsidRDefault="00EF444B" w:rsidP="001D0682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14:paraId="6C9DF191" w14:textId="77777777" w:rsidR="00EF444B" w:rsidRPr="0055193A" w:rsidRDefault="00EF444B" w:rsidP="001D0682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</w:t>
      </w:r>
      <w:r w:rsidR="002F3709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činnosti univerzity podľa druhov v Eur:</w:t>
      </w:r>
    </w:p>
    <w:p w14:paraId="0249385F" w14:textId="726C7683" w:rsidR="00EF444B" w:rsidRPr="001937AE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37AE">
        <w:rPr>
          <w:rFonts w:asciiTheme="minorHAnsi" w:hAnsiTheme="minorHAnsi" w:cstheme="minorHAnsi"/>
          <w:sz w:val="22"/>
          <w:szCs w:val="22"/>
        </w:rPr>
        <w:t>prevádzkové dotácie zo štátneho rozpočtu</w:t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Pr="001937AE">
        <w:rPr>
          <w:rFonts w:asciiTheme="minorHAnsi" w:hAnsiTheme="minorHAnsi" w:cstheme="minorHAnsi"/>
          <w:sz w:val="22"/>
          <w:szCs w:val="22"/>
        </w:rPr>
        <w:tab/>
      </w:r>
      <w:r w:rsidR="0066035C" w:rsidRPr="001937AE">
        <w:rPr>
          <w:rFonts w:asciiTheme="minorHAnsi" w:hAnsiTheme="minorHAnsi" w:cstheme="minorHAnsi"/>
          <w:sz w:val="22"/>
          <w:szCs w:val="22"/>
        </w:rPr>
        <w:t xml:space="preserve">        </w:t>
      </w:r>
      <w:r w:rsidR="00D45E40">
        <w:rPr>
          <w:rFonts w:asciiTheme="minorHAnsi" w:hAnsiTheme="minorHAnsi" w:cstheme="minorHAnsi"/>
          <w:sz w:val="22"/>
          <w:szCs w:val="22"/>
        </w:rPr>
        <w:t>20 943 512,66</w:t>
      </w:r>
    </w:p>
    <w:p w14:paraId="4E044F2E" w14:textId="25C86A3A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zo školného a z poplatkov spojených so štúdiom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1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 915 584,26</w:t>
      </w:r>
    </w:p>
    <w:p w14:paraId="165E7A2C" w14:textId="7B611FFD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 použitia fondov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92AC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83 044,32</w:t>
      </w:r>
      <w:r w:rsidRPr="0055193A">
        <w:rPr>
          <w:rFonts w:asciiTheme="minorHAnsi" w:hAnsiTheme="minorHAnsi" w:cstheme="minorHAnsi"/>
          <w:color w:val="FF0000"/>
          <w:sz w:val="22"/>
          <w:szCs w:val="22"/>
        </w:rPr>
        <w:t xml:space="preserve">    </w:t>
      </w:r>
    </w:p>
    <w:p w14:paraId="4181A806" w14:textId="0A61B909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 odpisov z</w:t>
      </w:r>
      <w:r w:rsidR="000C26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bežnej dotácie a z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 kapitálových  dotácií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417FE">
        <w:rPr>
          <w:rFonts w:asciiTheme="minorHAnsi" w:hAnsiTheme="minorHAnsi" w:cstheme="minorHAnsi"/>
          <w:color w:val="000000" w:themeColor="text1"/>
          <w:sz w:val="22"/>
          <w:szCs w:val="22"/>
        </w:rPr>
        <w:t>63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5 393,35</w:t>
      </w:r>
    </w:p>
    <w:p w14:paraId="7BAB9F1A" w14:textId="169B4284" w:rsidR="00EF444B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ŠD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44902">
        <w:rPr>
          <w:rFonts w:asciiTheme="minorHAnsi" w:hAnsiTheme="minorHAnsi" w:cstheme="minorHAnsi"/>
          <w:color w:val="000000" w:themeColor="text1"/>
          <w:sz w:val="22"/>
          <w:szCs w:val="22"/>
        </w:rPr>
        <w:t>264 933,50</w:t>
      </w:r>
    </w:p>
    <w:p w14:paraId="67406946" w14:textId="3C9DF0C0" w:rsidR="00DC0CF4" w:rsidRPr="0055193A" w:rsidRDefault="00D876A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485 702,11</w:t>
      </w:r>
    </w:p>
    <w:p w14:paraId="0203AB80" w14:textId="03C9A39D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ostatné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C0C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  <w:r w:rsidR="00D87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544902">
        <w:rPr>
          <w:rFonts w:asciiTheme="minorHAnsi" w:hAnsiTheme="minorHAnsi" w:cstheme="minorHAnsi"/>
          <w:color w:val="000000" w:themeColor="text1"/>
          <w:sz w:val="22"/>
          <w:szCs w:val="22"/>
        </w:rPr>
        <w:t>61 401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44902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</w:p>
    <w:p w14:paraId="61D6F523" w14:textId="77777777" w:rsidR="00EF444B" w:rsidRPr="00F960DC" w:rsidRDefault="00EF444B" w:rsidP="001D0682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960DC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0E871CEE" w14:textId="3ABDCFDF" w:rsidR="00EF444B" w:rsidRPr="005259BE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259BE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D876AB">
        <w:rPr>
          <w:rFonts w:asciiTheme="minorHAnsi" w:hAnsiTheme="minorHAnsi" w:cstheme="minorHAnsi"/>
          <w:sz w:val="22"/>
          <w:szCs w:val="22"/>
        </w:rPr>
        <w:t>Výnosy Trnavskej univerzity za rok 20</w:t>
      </w:r>
      <w:r w:rsidR="00003F20" w:rsidRPr="00D876AB">
        <w:rPr>
          <w:rFonts w:asciiTheme="minorHAnsi" w:hAnsiTheme="minorHAnsi" w:cstheme="minorHAnsi"/>
          <w:sz w:val="22"/>
          <w:szCs w:val="22"/>
        </w:rPr>
        <w:t>2</w:t>
      </w:r>
      <w:r w:rsidR="00D45E40">
        <w:rPr>
          <w:rFonts w:asciiTheme="minorHAnsi" w:hAnsiTheme="minorHAnsi" w:cstheme="minorHAnsi"/>
          <w:sz w:val="22"/>
          <w:szCs w:val="22"/>
        </w:rPr>
        <w:t>4</w:t>
      </w:r>
      <w:r w:rsidRPr="00D876AB">
        <w:rPr>
          <w:rFonts w:asciiTheme="minorHAnsi" w:hAnsiTheme="minorHAnsi" w:cstheme="minorHAnsi"/>
          <w:sz w:val="22"/>
          <w:szCs w:val="22"/>
        </w:rPr>
        <w:t xml:space="preserve">  z </w:t>
      </w:r>
      <w:r w:rsidR="0087039E" w:rsidRPr="00D876AB">
        <w:rPr>
          <w:rFonts w:asciiTheme="minorHAnsi" w:hAnsiTheme="minorHAnsi" w:cstheme="minorHAnsi"/>
          <w:sz w:val="22"/>
          <w:szCs w:val="22"/>
        </w:rPr>
        <w:t>hlavnej</w:t>
      </w:r>
      <w:r w:rsidRPr="00D876AB">
        <w:rPr>
          <w:rFonts w:asciiTheme="minorHAnsi" w:hAnsiTheme="minorHAnsi" w:cstheme="minorHAnsi"/>
          <w:sz w:val="22"/>
          <w:szCs w:val="22"/>
        </w:rPr>
        <w:t xml:space="preserve">  činnosti  predstavovali  </w:t>
      </w:r>
      <w:r w:rsidR="00595AB7" w:rsidRPr="00D876AB">
        <w:rPr>
          <w:rFonts w:asciiTheme="minorHAnsi" w:hAnsiTheme="minorHAnsi" w:cstheme="minorHAnsi"/>
          <w:sz w:val="22"/>
          <w:szCs w:val="22"/>
        </w:rPr>
        <w:t>8</w:t>
      </w:r>
      <w:r w:rsidR="00D45E40">
        <w:rPr>
          <w:rFonts w:asciiTheme="minorHAnsi" w:hAnsiTheme="minorHAnsi" w:cstheme="minorHAnsi"/>
          <w:sz w:val="22"/>
          <w:szCs w:val="22"/>
        </w:rPr>
        <w:t>9</w:t>
      </w:r>
      <w:r w:rsidR="00595AB7" w:rsidRPr="00D876AB">
        <w:rPr>
          <w:rFonts w:asciiTheme="minorHAnsi" w:hAnsiTheme="minorHAnsi" w:cstheme="minorHAnsi"/>
          <w:sz w:val="22"/>
          <w:szCs w:val="22"/>
        </w:rPr>
        <w:t>,</w:t>
      </w:r>
      <w:r w:rsidR="00D45E40">
        <w:rPr>
          <w:rFonts w:asciiTheme="minorHAnsi" w:hAnsiTheme="minorHAnsi" w:cstheme="minorHAnsi"/>
          <w:sz w:val="22"/>
          <w:szCs w:val="22"/>
        </w:rPr>
        <w:t>91</w:t>
      </w:r>
      <w:r w:rsidRPr="00D876AB">
        <w:rPr>
          <w:rFonts w:asciiTheme="minorHAnsi" w:hAnsiTheme="minorHAnsi" w:cstheme="minorHAnsi"/>
          <w:sz w:val="22"/>
          <w:szCs w:val="22"/>
        </w:rPr>
        <w:t xml:space="preserve"> % z dotácie a</w:t>
      </w:r>
      <w:r w:rsidR="00B32B3B" w:rsidRPr="00D876AB">
        <w:rPr>
          <w:rFonts w:asciiTheme="minorHAnsi" w:hAnsiTheme="minorHAnsi" w:cstheme="minorHAnsi"/>
          <w:sz w:val="22"/>
          <w:szCs w:val="22"/>
        </w:rPr>
        <w:t> </w:t>
      </w:r>
      <w:r w:rsidRPr="00D876AB">
        <w:rPr>
          <w:rFonts w:asciiTheme="minorHAnsi" w:hAnsiTheme="minorHAnsi" w:cstheme="minorHAnsi"/>
          <w:sz w:val="22"/>
          <w:szCs w:val="22"/>
        </w:rPr>
        <w:t>1</w:t>
      </w:r>
      <w:r w:rsidR="00D45E40">
        <w:rPr>
          <w:rFonts w:asciiTheme="minorHAnsi" w:hAnsiTheme="minorHAnsi" w:cstheme="minorHAnsi"/>
          <w:sz w:val="22"/>
          <w:szCs w:val="22"/>
        </w:rPr>
        <w:t>0</w:t>
      </w:r>
      <w:r w:rsidR="00B32B3B" w:rsidRPr="00D876AB">
        <w:rPr>
          <w:rFonts w:asciiTheme="minorHAnsi" w:hAnsiTheme="minorHAnsi" w:cstheme="minorHAnsi"/>
          <w:sz w:val="22"/>
          <w:szCs w:val="22"/>
        </w:rPr>
        <w:t>,</w:t>
      </w:r>
      <w:r w:rsidR="00D45E40">
        <w:rPr>
          <w:rFonts w:asciiTheme="minorHAnsi" w:hAnsiTheme="minorHAnsi" w:cstheme="minorHAnsi"/>
          <w:sz w:val="22"/>
          <w:szCs w:val="22"/>
        </w:rPr>
        <w:t>09</w:t>
      </w:r>
      <w:r w:rsidRPr="00D876AB">
        <w:rPr>
          <w:rFonts w:asciiTheme="minorHAnsi" w:hAnsiTheme="minorHAnsi" w:cstheme="minorHAnsi"/>
          <w:sz w:val="22"/>
          <w:szCs w:val="22"/>
        </w:rPr>
        <w:t xml:space="preserve"> % z iných zdrojov. </w:t>
      </w:r>
    </w:p>
    <w:p w14:paraId="706D9F70" w14:textId="77777777" w:rsidR="00EF444B" w:rsidRDefault="00EF444B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88A88BE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35ACC102" w14:textId="77777777" w:rsidR="00EF444B" w:rsidRPr="00A42529" w:rsidRDefault="008A6B0A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.2  Analýza výnosov 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 podnikateľskej 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činnosti</w:t>
      </w:r>
    </w:p>
    <w:p w14:paraId="3F75375A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0ED9586E" w14:textId="3397DBEB" w:rsidR="00EF444B" w:rsidRPr="00066EAC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Hlavným zdrojom príjmov z 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činnosti boli v roku 20</w:t>
      </w:r>
      <w:r w:rsidR="008A6B0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ubytovanie osôb v ŠD, </w:t>
      </w:r>
      <w:r w:rsidR="006F4887">
        <w:rPr>
          <w:rFonts w:asciiTheme="minorHAnsi" w:hAnsiTheme="minorHAnsi" w:cstheme="minorHAnsi"/>
          <w:color w:val="000000" w:themeColor="text1"/>
          <w:sz w:val="22"/>
          <w:szCs w:val="22"/>
        </w:rPr>
        <w:t>príjmy za archeologický výskum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>, právne služby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, sociologický výskum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 iné. Podiel výnosov z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predstavoval 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>1,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 w:rsidRPr="00066EAC">
        <w:rPr>
          <w:rFonts w:asciiTheme="minorHAnsi" w:hAnsiTheme="minorHAnsi" w:cstheme="minorHAnsi"/>
          <w:sz w:val="22"/>
          <w:szCs w:val="22"/>
        </w:rPr>
        <w:t>% z celkových výnosov univerzity.</w:t>
      </w:r>
    </w:p>
    <w:p w14:paraId="16E69526" w14:textId="6E27246B" w:rsidR="00B32B3B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>Výnosy univerzity z</w:t>
      </w:r>
      <w:r w:rsidR="00544593" w:rsidRPr="00066EAC">
        <w:rPr>
          <w:rFonts w:asciiTheme="minorHAnsi" w:hAnsiTheme="minorHAnsi" w:cstheme="minorHAnsi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činnosti celkom predstavovali sumu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338 033,28</w:t>
      </w:r>
      <w:r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66EAC">
        <w:rPr>
          <w:rFonts w:asciiTheme="minorHAnsi" w:hAnsiTheme="minorHAnsi" w:cstheme="minorHAnsi"/>
          <w:sz w:val="22"/>
          <w:szCs w:val="22"/>
        </w:rPr>
        <w:t>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porovnaní s rokom 20</w:t>
      </w:r>
      <w:r w:rsidR="00D264D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univerzita dosiahla výnosy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vyššie</w:t>
      </w:r>
      <w:r w:rsidR="005170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 122 741,82</w:t>
      </w:r>
      <w:r w:rsidRPr="00066EAC">
        <w:rPr>
          <w:rFonts w:asciiTheme="minorHAnsi" w:hAnsiTheme="minorHAnsi" w:cstheme="minorHAnsi"/>
          <w:sz w:val="22"/>
          <w:szCs w:val="22"/>
        </w:rPr>
        <w:t xml:space="preserve"> Eur.</w:t>
      </w:r>
    </w:p>
    <w:p w14:paraId="43223A8B" w14:textId="348CC176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CDEC2" w14:textId="77777777" w:rsidR="00B32B3B" w:rsidRPr="00B32B3B" w:rsidRDefault="00B32B3B" w:rsidP="00B32B3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Výnosy z podnikateľskej činnosti univerzity podľa druhov v Eur:</w:t>
      </w:r>
    </w:p>
    <w:p w14:paraId="68AA85F3" w14:textId="3795274A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ubytovanie cudzích osôb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179BD">
        <w:rPr>
          <w:rFonts w:asciiTheme="minorHAnsi" w:hAnsiTheme="minorHAnsi" w:cstheme="minorHAnsi"/>
          <w:color w:val="000000" w:themeColor="text1"/>
          <w:sz w:val="22"/>
          <w:szCs w:val="22"/>
        </w:rPr>
        <w:t>8 569,44</w:t>
      </w:r>
    </w:p>
    <w:p w14:paraId="70E1B46F" w14:textId="5E1816B0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>organizovanie  seminárov, konferencií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="00023761">
        <w:rPr>
          <w:rFonts w:asciiTheme="minorHAnsi" w:hAnsiTheme="minorHAnsi" w:cstheme="minorHAnsi"/>
          <w:sz w:val="22"/>
          <w:szCs w:val="22"/>
        </w:rPr>
        <w:t xml:space="preserve"> </w:t>
      </w:r>
      <w:r w:rsidR="00D45E40">
        <w:rPr>
          <w:rFonts w:asciiTheme="minorHAnsi" w:hAnsiTheme="minorHAnsi" w:cstheme="minorHAnsi"/>
          <w:sz w:val="22"/>
          <w:szCs w:val="22"/>
        </w:rPr>
        <w:t>13 908,27</w:t>
      </w:r>
    </w:p>
    <w:p w14:paraId="1DD3FB84" w14:textId="5D2B51B3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 xml:space="preserve">organizovanie vzdelávacích kurzov 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6222DA">
        <w:rPr>
          <w:rFonts w:asciiTheme="minorHAnsi" w:hAnsiTheme="minorHAnsi" w:cstheme="minorHAnsi"/>
          <w:sz w:val="22"/>
          <w:szCs w:val="22"/>
        </w:rPr>
        <w:t>8</w:t>
      </w:r>
      <w:r w:rsidR="00D45E40">
        <w:rPr>
          <w:rFonts w:asciiTheme="minorHAnsi" w:hAnsiTheme="minorHAnsi" w:cstheme="minorHAnsi"/>
          <w:sz w:val="22"/>
          <w:szCs w:val="22"/>
        </w:rPr>
        <w:t> 623,44</w:t>
      </w:r>
    </w:p>
    <w:p w14:paraId="6864ADB9" w14:textId="6DD1E709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prenájom nebytových priestorov 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D45E40">
        <w:rPr>
          <w:rFonts w:asciiTheme="minorHAnsi" w:hAnsiTheme="minorHAnsi" w:cstheme="minorHAnsi"/>
          <w:color w:val="000000" w:themeColor="text1"/>
          <w:sz w:val="22"/>
          <w:szCs w:val="22"/>
        </w:rPr>
        <w:t>48 342,00</w:t>
      </w:r>
    </w:p>
    <w:p w14:paraId="60DDC66E" w14:textId="1A8C26B4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predaj odbornej literatúry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19 980,20</w:t>
      </w:r>
      <w:r w:rsidRPr="00B32B3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71248BF" w14:textId="29B92686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g)     doplnkové pedagogické štúdium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43 641,74</w:t>
      </w:r>
    </w:p>
    <w:p w14:paraId="537D989C" w14:textId="5BB439FA" w:rsid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h)     archeologický výskum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9 000,00</w:t>
      </w:r>
    </w:p>
    <w:p w14:paraId="2C210C08" w14:textId="7A3D413C" w:rsidR="00F069E7" w:rsidRDefault="00F069E7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ch)   výskum v oblasti sociológie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130 833,33</w:t>
      </w:r>
    </w:p>
    <w:p w14:paraId="1AFC9BE7" w14:textId="2B7A7375" w:rsidR="00F069E7" w:rsidRPr="00B32B3B" w:rsidRDefault="00F069E7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i)      právne služby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15 300,00</w:t>
      </w:r>
    </w:p>
    <w:p w14:paraId="14546E9E" w14:textId="01533518" w:rsidR="00B32B3B" w:rsidRPr="00B32B3B" w:rsidRDefault="00F069E7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poplatok za kurzy AJ a literatúry</w:t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9 293,3</w:t>
      </w:r>
      <w:r w:rsidR="006222DA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</w:p>
    <w:p w14:paraId="062463FE" w14:textId="69E5804C" w:rsidR="00B32B3B" w:rsidRDefault="00F069E7" w:rsidP="00B32B3B">
      <w:pPr>
        <w:rPr>
          <w:sz w:val="24"/>
          <w:szCs w:val="24"/>
          <w:lang w:eastAsia="sk-SK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ostatné</w:t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32B3B"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E179BD">
        <w:rPr>
          <w:rFonts w:asciiTheme="minorHAnsi" w:hAnsiTheme="minorHAnsi" w:cstheme="minorHAnsi"/>
          <w:color w:val="000000" w:themeColor="text1"/>
          <w:sz w:val="22"/>
          <w:szCs w:val="22"/>
        </w:rPr>
        <w:t>10 541,49</w:t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2B3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01A9299" w14:textId="77777777" w:rsidR="00CD7670" w:rsidRDefault="00CD7670" w:rsidP="0001567C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676D7B7" w14:textId="77777777" w:rsidR="0081185A" w:rsidRPr="00A42529" w:rsidRDefault="0081185A" w:rsidP="001D0682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83E630B" w14:textId="77777777" w:rsidR="00EF444B" w:rsidRPr="00E95B44" w:rsidRDefault="00063926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B851E3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EF444B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Analýza nákladov</w:t>
      </w:r>
      <w:r w:rsidR="00B851E3" w:rsidRPr="00E95B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resp. výdavkov</w:t>
      </w:r>
    </w:p>
    <w:p w14:paraId="7C6A757C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B2A03BF" w14:textId="77777777" w:rsidR="00EF444B" w:rsidRPr="00A42529" w:rsidRDefault="00063926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nákladov z </w:t>
      </w:r>
      <w:r w:rsidR="002169DF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činnosti</w:t>
      </w:r>
    </w:p>
    <w:p w14:paraId="35DE66DE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301D1A22" w14:textId="7DBA22B4" w:rsidR="006C2319" w:rsidRDefault="006C2319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Základným zdrojom informácií o celkových nákladoch je výkaz ziskov a strát. V súlade </w:t>
      </w:r>
      <w:r w:rsidR="0053520C" w:rsidRPr="0053520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o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patrením M</w:t>
      </w:r>
      <w:r w:rsidR="0053520C">
        <w:rPr>
          <w:rStyle w:val="Vrazn"/>
          <w:rFonts w:asciiTheme="minorHAnsi" w:hAnsiTheme="minorHAnsi" w:cstheme="minorHAnsi"/>
          <w:b w:val="0"/>
          <w:sz w:val="22"/>
          <w:szCs w:val="22"/>
        </w:rPr>
        <w:t xml:space="preserve">F 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SR </w:t>
      </w:r>
      <w:r w:rsidR="0053520C" w:rsidRPr="0053520C">
        <w:rPr>
          <w:rFonts w:asciiTheme="minorHAnsi" w:hAnsiTheme="minorHAnsi" w:cstheme="minorHAnsi"/>
          <w:b/>
          <w:sz w:val="22"/>
          <w:szCs w:val="22"/>
        </w:rPr>
        <w:t> </w:t>
      </w:r>
      <w:r w:rsidR="0053520C" w:rsidRPr="0053520C">
        <w:rPr>
          <w:rStyle w:val="Vrazn"/>
          <w:rFonts w:asciiTheme="minorHAnsi" w:hAnsiTheme="minorHAnsi" w:cstheme="minorHAnsi"/>
          <w:b w:val="0"/>
          <w:sz w:val="22"/>
          <w:szCs w:val="22"/>
        </w:rPr>
        <w:t>z 3. novembra  2021 č. MF/011079/2021-74</w:t>
      </w:r>
      <w:r w:rsidR="0053520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53520C"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a s</w:t>
      </w:r>
      <w:r w:rsidRPr="0053520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opatrením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MF SR z 30. októbra 2013 a číslo MF/17616/2013-74 v znení opatrenia MF SR z 2. decembra 2015 číslo MF/20166/2015-74 univerzita sleduje oddelene náklady na hlavnú nezdaňovanú  a zdaňovanú - podnikateľskú činnosť. </w:t>
      </w:r>
    </w:p>
    <w:p w14:paraId="678048C4" w14:textId="6088382D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4B0BCF"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vyplýva, že náklady v tejto činnosti boli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932B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vyššie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</w:rPr>
        <w:t> 1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 021 144,48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0639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oproti predchádzajúcemu roku. Náklady  univerzity v </w:t>
      </w:r>
      <w:r w:rsidR="004B0BC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celkom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36A98">
        <w:rPr>
          <w:rFonts w:asciiTheme="minorHAnsi" w:hAnsiTheme="minorHAnsi" w:cstheme="minorHAnsi"/>
          <w:sz w:val="22"/>
          <w:szCs w:val="22"/>
        </w:rPr>
        <w:t xml:space="preserve">predstavovali sumu </w:t>
      </w:r>
      <w:r w:rsidR="00305F5D">
        <w:rPr>
          <w:rFonts w:asciiTheme="minorHAnsi" w:hAnsiTheme="minorHAnsi" w:cstheme="minorHAnsi"/>
          <w:sz w:val="22"/>
          <w:szCs w:val="22"/>
        </w:rPr>
        <w:t>2</w:t>
      </w:r>
      <w:r w:rsidR="00F069E7">
        <w:rPr>
          <w:rFonts w:asciiTheme="minorHAnsi" w:hAnsiTheme="minorHAnsi" w:cstheme="minorHAnsi"/>
          <w:sz w:val="22"/>
          <w:szCs w:val="22"/>
        </w:rPr>
        <w:t>3 213 384,25</w:t>
      </w:r>
      <w:r w:rsidRPr="00D36A98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4CEC26" w14:textId="1FB98211" w:rsidR="002E110E" w:rsidRDefault="00052954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Najväčší nárast bol </w:t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pri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mzdových nákladoch o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="00305F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1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022 226,47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a s tým súvisiacimi zákonnými odvodmi do poisťovní. </w:t>
      </w:r>
    </w:p>
    <w:p w14:paraId="69B51EE4" w14:textId="610635CE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Odpisy tvorili tiež nezanedbateľnú časť nárastu, konkrétne o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="00DB4F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4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9 322,45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.</w:t>
      </w:r>
    </w:p>
    <w:p w14:paraId="511826CC" w14:textId="11107167" w:rsidR="00444B41" w:rsidRPr="0001567C" w:rsidRDefault="00FA17E0" w:rsidP="0001567C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Najvyššou nákladovou položkou 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hlavnej činnosti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boli mzdové náklady a s tým spojené odvody </w:t>
      </w:r>
      <w:r w:rsidR="00293C86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 poistných fondov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tvorili 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604C">
        <w:rPr>
          <w:rFonts w:asciiTheme="minorHAnsi" w:hAnsiTheme="minorHAnsi" w:cstheme="minorHAnsi"/>
          <w:color w:val="000000" w:themeColor="text1"/>
          <w:sz w:val="22"/>
          <w:szCs w:val="22"/>
        </w:rPr>
        <w:t>% celkových nákladov</w:t>
      </w:r>
      <w:r w:rsidR="00037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hlavnej činnosti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E844EC" w14:textId="77777777" w:rsidR="00444B41" w:rsidRDefault="00444B41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65F5835" w14:textId="77777777" w:rsidR="00444B41" w:rsidRDefault="00444B41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521E8CE" w14:textId="57A8EB7F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3604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2.3.2. Analýza nákladov z podnikateľskej činnosti</w:t>
      </w:r>
    </w:p>
    <w:p w14:paraId="00ECCA5B" w14:textId="77777777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71BBC49" w14:textId="3F473BE7" w:rsidR="00A3604C" w:rsidRPr="00A3604C" w:rsidRDefault="00A3604C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podnikateľskej činnosti univerzita vykázala náklady vo výške </w:t>
      </w:r>
      <w:r w:rsidR="0082535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73 529,86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čo je v porovnaní s rokom 20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nárast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825357">
        <w:rPr>
          <w:rFonts w:asciiTheme="minorHAnsi" w:hAnsiTheme="minorHAnsi" w:cstheme="minorHAnsi"/>
          <w:color w:val="000000" w:themeColor="text1"/>
          <w:sz w:val="22"/>
          <w:szCs w:val="22"/>
        </w:rPr>
        <w:t> 93 255</w:t>
      </w:r>
      <w:r w:rsidR="002E21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Najvyšší 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zaznamenaný </w:t>
      </w:r>
      <w:r w:rsidR="00BD0DF4">
        <w:rPr>
          <w:rFonts w:asciiTheme="minorHAnsi" w:hAnsiTheme="minorHAnsi" w:cstheme="minorHAnsi"/>
          <w:color w:val="000000" w:themeColor="text1"/>
          <w:sz w:val="22"/>
          <w:szCs w:val="22"/>
        </w:rPr>
        <w:t>v spotrebe energií a to o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 6 437,61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v spotrebe mat</w:t>
      </w:r>
      <w:r w:rsidR="002932B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>riálu o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 26 353,27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, v predanom tovare o 15 646,16 Eur</w:t>
      </w:r>
      <w:r w:rsidR="002932B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A1F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>zdov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odvod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poistných fondov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poklesli o 17 541,50 E</w:t>
      </w:r>
      <w:r w:rsidR="00A87AC5">
        <w:rPr>
          <w:rFonts w:asciiTheme="minorHAnsi" w:hAnsiTheme="minorHAnsi" w:cstheme="minorHAnsi"/>
          <w:color w:val="000000" w:themeColor="text1"/>
          <w:sz w:val="22"/>
          <w:szCs w:val="22"/>
        </w:rPr>
        <w:t>ur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Tieto náklady mali aj najvyšší podiel na celkových nákladoch, tvorili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 w:rsidR="006A1F3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Ďalšími nákladovými položkami boli: 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ostatné služby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24,83</w:t>
      </w:r>
      <w:r w:rsidR="00A34B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spotreba materiálu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14,71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spotreba energie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5,67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predaný tovar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84AF7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 w:rsidR="00B84AF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E12EAFB" w14:textId="77777777"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DF55754" w14:textId="77777777" w:rsidR="00EB5715" w:rsidRDefault="00EB5715" w:rsidP="00EF444B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6823FF97" w14:textId="162854FD" w:rsidR="00971E4B" w:rsidRDefault="00971E4B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Analytické údaje za vybrané oblasti hlavnej činnosti TU v Trnave sú uvedené v jednotlivých tabuľkách výročnej správy o</w:t>
      </w:r>
      <w:r w:rsidR="00FC37E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hospodárení</w:t>
      </w:r>
      <w:r w:rsidR="00FC37E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2823432" w14:textId="6CB4F515" w:rsidR="00BC59CF" w:rsidRPr="00303449" w:rsidRDefault="00BC59CF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Trnavská univerzita v Trnave dodržala aj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zásadu: objem miezd a odvodov do poistných fondov neprekročil 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objemu dotácie bežných výdavkov.  </w:t>
      </w:r>
    </w:p>
    <w:p w14:paraId="18193D48" w14:textId="77777777" w:rsidR="00BC59CF" w:rsidRDefault="00BC59CF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50A1D7" w14:textId="77B009F0" w:rsidR="00BC59CF" w:rsidRDefault="00BC59CF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40F5">
        <w:rPr>
          <w:rFonts w:asciiTheme="minorHAnsi" w:hAnsiTheme="minorHAnsi" w:cstheme="minorHAnsi"/>
          <w:color w:val="000000" w:themeColor="text1"/>
          <w:sz w:val="22"/>
          <w:szCs w:val="22"/>
        </w:rPr>
        <w:t>Celkové čerpanie mzdových prostriedkov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040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 všetkých zdrojov univerzity predstavovalo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39429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350D8">
        <w:rPr>
          <w:rFonts w:asciiTheme="minorHAnsi" w:hAnsiTheme="minorHAnsi" w:cstheme="minorHAnsi"/>
          <w:color w:val="000000" w:themeColor="text1"/>
          <w:sz w:val="22"/>
          <w:szCs w:val="22"/>
        </w:rPr>
        <w:t> 994 263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040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Eur. 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 toho sa mzdové prostriedky vo výške </w:t>
      </w:r>
      <w:r w:rsidR="004350D8">
        <w:rPr>
          <w:rFonts w:asciiTheme="minorHAnsi" w:hAnsiTheme="minorHAnsi" w:cstheme="minorHAnsi"/>
          <w:color w:val="000000" w:themeColor="text1"/>
          <w:sz w:val="22"/>
          <w:szCs w:val="22"/>
        </w:rPr>
        <w:t>73 112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čerpali z podnikateľskej činnosti a mzdové prostriedky </w:t>
      </w:r>
      <w:r w:rsidR="004350D8">
        <w:rPr>
          <w:rFonts w:asciiTheme="minorHAnsi" w:hAnsiTheme="minorHAnsi" w:cstheme="minorHAnsi"/>
          <w:color w:val="000000" w:themeColor="text1"/>
          <w:sz w:val="22"/>
          <w:szCs w:val="22"/>
        </w:rPr>
        <w:t>11 921 151</w:t>
      </w:r>
      <w:r w:rsidRPr="001340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z hlavnej činnosti.</w:t>
      </w:r>
    </w:p>
    <w:p w14:paraId="7F5D6ECC" w14:textId="77777777" w:rsidR="00BC59CF" w:rsidRDefault="00BC59CF" w:rsidP="00BC59C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5ACDC6" w14:textId="34172077" w:rsidR="00394297" w:rsidRPr="00C4614E" w:rsidRDefault="00394297" w:rsidP="00394297">
      <w:pPr>
        <w:jc w:val="both"/>
        <w:rPr>
          <w:rFonts w:ascii="Arial" w:hAnsi="Arial" w:cs="Arial"/>
          <w:i/>
          <w:lang w:eastAsia="sk-SK"/>
        </w:rPr>
      </w:pPr>
      <w:r>
        <w:rPr>
          <w:rFonts w:ascii="Arial" w:hAnsi="Arial" w:cs="Arial"/>
          <w:i/>
          <w:lang w:eastAsia="sk-SK"/>
        </w:rPr>
        <w:t>Tabuľka G - Celkové čerpanie</w:t>
      </w:r>
      <w:r w:rsidRPr="00C4614E">
        <w:rPr>
          <w:rFonts w:ascii="Arial" w:hAnsi="Arial" w:cs="Arial"/>
          <w:i/>
          <w:lang w:eastAsia="sk-SK"/>
        </w:rPr>
        <w:t xml:space="preserve"> mzdových prostriedkov v roku 20</w:t>
      </w:r>
      <w:r>
        <w:rPr>
          <w:rFonts w:ascii="Arial" w:hAnsi="Arial" w:cs="Arial"/>
          <w:i/>
          <w:lang w:eastAsia="sk-SK"/>
        </w:rPr>
        <w:t>23</w:t>
      </w:r>
      <w:r w:rsidRPr="00C4614E">
        <w:rPr>
          <w:rFonts w:ascii="Arial" w:hAnsi="Arial" w:cs="Arial"/>
          <w:i/>
          <w:lang w:eastAsia="sk-SK"/>
        </w:rPr>
        <w:t xml:space="preserve"> </w:t>
      </w:r>
      <w:r>
        <w:rPr>
          <w:rFonts w:ascii="Arial" w:hAnsi="Arial" w:cs="Arial"/>
          <w:i/>
          <w:lang w:eastAsia="sk-SK"/>
        </w:rPr>
        <w:t>a </w:t>
      </w:r>
      <w:r w:rsidR="004350D8">
        <w:rPr>
          <w:rFonts w:ascii="Arial" w:hAnsi="Arial" w:cs="Arial"/>
          <w:i/>
          <w:lang w:eastAsia="sk-SK"/>
        </w:rPr>
        <w:t>2024</w:t>
      </w:r>
    </w:p>
    <w:tbl>
      <w:tblPr>
        <w:tblStyle w:val="Mriekatabuky"/>
        <w:tblW w:w="8789" w:type="dxa"/>
        <w:jc w:val="right"/>
        <w:tblLayout w:type="fixed"/>
        <w:tblLook w:val="04A0" w:firstRow="1" w:lastRow="0" w:firstColumn="1" w:lastColumn="0" w:noHBand="0" w:noVBand="1"/>
      </w:tblPr>
      <w:tblGrid>
        <w:gridCol w:w="5670"/>
        <w:gridCol w:w="1596"/>
        <w:gridCol w:w="1523"/>
      </w:tblGrid>
      <w:tr w:rsidR="00394297" w:rsidRPr="00C4614E" w14:paraId="53C8FCDC" w14:textId="77777777" w:rsidTr="00A45E2F">
        <w:trPr>
          <w:trHeight w:hRule="exact" w:val="680"/>
          <w:jc w:val="right"/>
        </w:trPr>
        <w:tc>
          <w:tcPr>
            <w:tcW w:w="5670" w:type="dxa"/>
            <w:shd w:val="clear" w:color="auto" w:fill="92D050"/>
            <w:vAlign w:val="center"/>
          </w:tcPr>
          <w:p w14:paraId="7094D628" w14:textId="77777777" w:rsidR="00394297" w:rsidRPr="00C4614E" w:rsidRDefault="00394297" w:rsidP="00A45E2F">
            <w:pPr>
              <w:jc w:val="center"/>
              <w:rPr>
                <w:rFonts w:ascii="Arial" w:hAnsi="Arial" w:cs="Arial"/>
                <w:b/>
              </w:rPr>
            </w:pPr>
            <w:bookmarkStart w:id="5" w:name="_Hlk95826172"/>
            <w:r w:rsidRPr="00C4614E">
              <w:rPr>
                <w:rFonts w:ascii="Arial" w:hAnsi="Arial" w:cs="Arial"/>
                <w:b/>
              </w:rPr>
              <w:t>zdroj financovania</w:t>
            </w:r>
          </w:p>
          <w:p w14:paraId="18E8A357" w14:textId="77777777" w:rsidR="00394297" w:rsidRPr="00C4614E" w:rsidRDefault="00394297" w:rsidP="00A45E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92D050"/>
            <w:vAlign w:val="center"/>
          </w:tcPr>
          <w:p w14:paraId="2FCEECE4" w14:textId="77777777" w:rsidR="00394297" w:rsidRPr="00C4614E" w:rsidRDefault="00394297" w:rsidP="00A45E2F">
            <w:pPr>
              <w:jc w:val="center"/>
              <w:rPr>
                <w:rFonts w:ascii="Arial" w:hAnsi="Arial" w:cs="Arial"/>
              </w:rPr>
            </w:pPr>
            <w:r w:rsidRPr="00AB3703">
              <w:rPr>
                <w:rFonts w:ascii="Arial" w:hAnsi="Arial" w:cs="Arial"/>
                <w:b/>
              </w:rPr>
              <w:t>rok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523" w:type="dxa"/>
            <w:shd w:val="clear" w:color="auto" w:fill="92D050"/>
            <w:vAlign w:val="center"/>
          </w:tcPr>
          <w:p w14:paraId="3062A7B8" w14:textId="77777777" w:rsidR="00394297" w:rsidRPr="00610609" w:rsidRDefault="00394297" w:rsidP="00A45E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2024</w:t>
            </w:r>
          </w:p>
        </w:tc>
      </w:tr>
      <w:tr w:rsidR="00394297" w:rsidRPr="00C4614E" w14:paraId="64E19540" w14:textId="77777777" w:rsidTr="00A45E2F">
        <w:trPr>
          <w:trHeight w:val="397"/>
          <w:jc w:val="right"/>
        </w:trPr>
        <w:tc>
          <w:tcPr>
            <w:tcW w:w="5670" w:type="dxa"/>
            <w:vAlign w:val="center"/>
          </w:tcPr>
          <w:p w14:paraId="6099548B" w14:textId="0399BA8E" w:rsidR="00394297" w:rsidRPr="00C4614E" w:rsidRDefault="004350D8" w:rsidP="00A45E2F">
            <w:pPr>
              <w:rPr>
                <w:rFonts w:ascii="Arial" w:hAnsi="Arial" w:cs="Arial"/>
              </w:rPr>
            </w:pPr>
            <w:bookmarkStart w:id="6" w:name="_Hlk192855384"/>
            <w:bookmarkStart w:id="7" w:name="_Hlk128387902"/>
            <w:r>
              <w:rPr>
                <w:rFonts w:ascii="Arial" w:hAnsi="Arial" w:cs="Arial"/>
              </w:rPr>
              <w:t>Hlavná činnosť</w:t>
            </w:r>
            <w:r w:rsidR="00394297" w:rsidRPr="00C4614E">
              <w:rPr>
                <w:rFonts w:ascii="Arial" w:hAnsi="Arial" w:cs="Arial"/>
              </w:rPr>
              <w:t xml:space="preserve"> </w:t>
            </w:r>
          </w:p>
          <w:p w14:paraId="754D436A" w14:textId="5DB4F2AC" w:rsidR="00394297" w:rsidRPr="00C4614E" w:rsidRDefault="00394297" w:rsidP="00A45E2F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14:paraId="3020416E" w14:textId="7C8838CE" w:rsidR="00394297" w:rsidRPr="00C4614E" w:rsidRDefault="004350D8" w:rsidP="00A45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11 278 596</w:t>
            </w:r>
          </w:p>
        </w:tc>
        <w:tc>
          <w:tcPr>
            <w:tcW w:w="1523" w:type="dxa"/>
            <w:vAlign w:val="center"/>
          </w:tcPr>
          <w:p w14:paraId="607ADF9E" w14:textId="169B1826" w:rsidR="00394297" w:rsidRPr="00C4614E" w:rsidRDefault="004350D8" w:rsidP="00A45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11 921 151</w:t>
            </w:r>
          </w:p>
        </w:tc>
      </w:tr>
      <w:tr w:rsidR="00394297" w:rsidRPr="00C4614E" w14:paraId="279060BE" w14:textId="77777777" w:rsidTr="00A45E2F">
        <w:trPr>
          <w:trHeight w:val="397"/>
          <w:jc w:val="right"/>
        </w:trPr>
        <w:tc>
          <w:tcPr>
            <w:tcW w:w="5670" w:type="dxa"/>
            <w:vAlign w:val="center"/>
          </w:tcPr>
          <w:p w14:paraId="3D27A4D2" w14:textId="579E8AA1" w:rsidR="00394297" w:rsidRPr="00C4614E" w:rsidRDefault="004350D8" w:rsidP="00A45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Podnikateľská činnosť</w:t>
            </w:r>
          </w:p>
        </w:tc>
        <w:tc>
          <w:tcPr>
            <w:tcW w:w="1596" w:type="dxa"/>
            <w:vAlign w:val="center"/>
          </w:tcPr>
          <w:p w14:paraId="34EAEDB2" w14:textId="14512D84" w:rsidR="00394297" w:rsidRPr="00C4614E" w:rsidRDefault="004350D8" w:rsidP="00A45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87 859</w:t>
            </w:r>
          </w:p>
        </w:tc>
        <w:tc>
          <w:tcPr>
            <w:tcW w:w="1523" w:type="dxa"/>
            <w:vAlign w:val="center"/>
          </w:tcPr>
          <w:p w14:paraId="33ADA499" w14:textId="66C53FAB" w:rsidR="00394297" w:rsidRPr="00C4614E" w:rsidRDefault="004350D8" w:rsidP="00A45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73 112</w:t>
            </w:r>
          </w:p>
        </w:tc>
      </w:tr>
      <w:bookmarkEnd w:id="6"/>
      <w:tr w:rsidR="00394297" w14:paraId="1C132112" w14:textId="77777777" w:rsidTr="00A45E2F">
        <w:trPr>
          <w:trHeight w:val="367"/>
          <w:jc w:val="right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68DC26B9" w14:textId="77777777" w:rsidR="00394297" w:rsidRPr="00E73416" w:rsidRDefault="00394297" w:rsidP="00A45E2F">
            <w:pPr>
              <w:jc w:val="center"/>
              <w:rPr>
                <w:rFonts w:ascii="Arial" w:hAnsi="Arial" w:cs="Arial"/>
              </w:rPr>
            </w:pPr>
            <w:r w:rsidRPr="00E73416">
              <w:rPr>
                <w:rFonts w:ascii="Arial" w:hAnsi="Arial" w:cs="Arial"/>
              </w:rPr>
              <w:t>SPOLU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14:paraId="60C66EE8" w14:textId="36CC187E" w:rsidR="00394297" w:rsidRPr="00E73416" w:rsidRDefault="004350D8" w:rsidP="00A45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11 366 455</w:t>
            </w:r>
          </w:p>
        </w:tc>
        <w:tc>
          <w:tcPr>
            <w:tcW w:w="1523" w:type="dxa"/>
            <w:shd w:val="clear" w:color="auto" w:fill="BFBFBF" w:themeFill="background1" w:themeFillShade="BF"/>
            <w:vAlign w:val="center"/>
          </w:tcPr>
          <w:p w14:paraId="3799A31B" w14:textId="0704F65C" w:rsidR="00394297" w:rsidRPr="00E73416" w:rsidRDefault="00394297" w:rsidP="00A45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350D8">
              <w:rPr>
                <w:rFonts w:ascii="Arial" w:hAnsi="Arial" w:cs="Arial"/>
              </w:rPr>
              <w:t> 994 263</w:t>
            </w:r>
          </w:p>
        </w:tc>
      </w:tr>
      <w:bookmarkEnd w:id="5"/>
      <w:bookmarkEnd w:id="7"/>
    </w:tbl>
    <w:p w14:paraId="2281D4B1" w14:textId="77777777" w:rsidR="00BC59CF" w:rsidRDefault="00BC59CF" w:rsidP="00BC59C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5F9475" w14:textId="77777777" w:rsidR="00742181" w:rsidRDefault="00742181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C93DB3" w14:textId="09B24DCE" w:rsidR="00BC59CF" w:rsidRPr="00693B2C" w:rsidRDefault="00BC59CF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>Celkové  čerpanie  mzdových prostriedkov zo všetkých zdrojov univerzity zaznamenalo v roku 202</w:t>
      </w:r>
      <w:r w:rsidR="0039429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porovnaní s rokom 202</w:t>
      </w:r>
      <w:r w:rsidR="0039429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 o približne </w:t>
      </w:r>
      <w:r w:rsidR="00394297">
        <w:rPr>
          <w:rFonts w:asciiTheme="minorHAnsi" w:hAnsiTheme="minorHAnsi" w:cstheme="minorHAnsi"/>
          <w:color w:val="000000" w:themeColor="text1"/>
          <w:sz w:val="22"/>
          <w:szCs w:val="22"/>
        </w:rPr>
        <w:t>6,8</w:t>
      </w:r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Tu treba spomenúť valorizáciu platov tak vysokoškolských učiteľov aj </w:t>
      </w:r>
      <w:proofErr w:type="spellStart"/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>neučiteľov</w:t>
      </w:r>
      <w:proofErr w:type="spellEnd"/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2023</w:t>
      </w:r>
      <w:r w:rsidR="003942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dopadom na rok 2024</w:t>
      </w:r>
      <w:r w:rsidRPr="00693B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50ED18" w14:textId="77777777" w:rsidR="00BC59CF" w:rsidRDefault="00BC59CF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A48F3C" w14:textId="62C6A6E4" w:rsidR="00BC59CF" w:rsidRDefault="00BC59CF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Priemerný prepočítaný počet zamestnancov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predstavoval hodnotu 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33389">
        <w:rPr>
          <w:rFonts w:asciiTheme="minorHAnsi" w:hAnsiTheme="minorHAnsi" w:cstheme="minorHAnsi"/>
          <w:color w:val="000000" w:themeColor="text1"/>
          <w:sz w:val="22"/>
          <w:szCs w:val="22"/>
        </w:rPr>
        <w:t>61,9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v porovnaní s rokom 202</w:t>
      </w:r>
      <w:r w:rsidR="0083338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zvýšil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3338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,3</w:t>
      </w:r>
      <w:r w:rsidRPr="00E02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Tabuľka H uvádza porovnanie poč</w:t>
      </w:r>
      <w:r w:rsidR="00833389">
        <w:rPr>
          <w:rFonts w:asciiTheme="minorHAnsi" w:hAnsiTheme="minorHAnsi" w:cstheme="minorHAnsi"/>
          <w:color w:val="000000" w:themeColor="text1"/>
          <w:sz w:val="22"/>
          <w:szCs w:val="22"/>
        </w:rPr>
        <w:t>tu zamestnancov Trnavskej univerzity podľa kategórií zamestnancov v rokoch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83338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202</w:t>
      </w:r>
      <w:r w:rsidR="0083338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F1755A" w14:textId="77777777" w:rsidR="00742181" w:rsidRDefault="00742181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179848" w14:textId="77777777" w:rsidR="00BC59CF" w:rsidRDefault="00BC59CF" w:rsidP="00BC59C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39F7CB" w14:textId="1AA80DB1" w:rsidR="00BC59CF" w:rsidRPr="005D79A5" w:rsidRDefault="00BC59CF" w:rsidP="00BC59C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D79A5">
        <w:rPr>
          <w:rFonts w:asciiTheme="minorHAnsi" w:hAnsiTheme="minorHAnsi" w:cstheme="minorHAnsi"/>
          <w:i/>
          <w:sz w:val="22"/>
          <w:szCs w:val="22"/>
        </w:rPr>
        <w:t xml:space="preserve">Tabuľka H – Počty a štruktúra </w:t>
      </w:r>
      <w:r w:rsidR="00833389">
        <w:rPr>
          <w:rFonts w:asciiTheme="minorHAnsi" w:hAnsiTheme="minorHAnsi" w:cstheme="minorHAnsi"/>
          <w:i/>
          <w:sz w:val="22"/>
          <w:szCs w:val="22"/>
        </w:rPr>
        <w:t>zamestnancov Trnavskej univerzity v Trnave</w:t>
      </w:r>
    </w:p>
    <w:tbl>
      <w:tblPr>
        <w:tblStyle w:val="TableGrid"/>
        <w:tblW w:w="9006" w:type="dxa"/>
        <w:tblInd w:w="61" w:type="dxa"/>
        <w:tblCellMar>
          <w:top w:w="58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918"/>
        <w:gridCol w:w="2261"/>
        <w:gridCol w:w="2310"/>
        <w:gridCol w:w="1517"/>
      </w:tblGrid>
      <w:tr w:rsidR="00BC59CF" w:rsidRPr="00E066E0" w14:paraId="3C8CA0C8" w14:textId="77777777" w:rsidTr="00A45E2F">
        <w:trPr>
          <w:trHeight w:val="2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E40754" w14:textId="77777777" w:rsidR="00BC59CF" w:rsidRPr="005D79A5" w:rsidRDefault="00BC59CF" w:rsidP="00A45E2F">
            <w:pPr>
              <w:spacing w:line="259" w:lineRule="auto"/>
              <w:ind w:right="58"/>
              <w:jc w:val="center"/>
            </w:pPr>
            <w:r w:rsidRPr="005D79A5">
              <w:rPr>
                <w:b/>
                <w:i/>
              </w:rPr>
              <w:t xml:space="preserve">Vysokoškolskí učitelia 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</w:tcPr>
          <w:p w14:paraId="33FA0087" w14:textId="77777777" w:rsidR="00BC59CF" w:rsidRPr="005D79A5" w:rsidRDefault="00BC59CF" w:rsidP="00A45E2F">
            <w:pPr>
              <w:spacing w:line="259" w:lineRule="auto"/>
              <w:ind w:right="58"/>
              <w:jc w:val="center"/>
            </w:pPr>
            <w:r w:rsidRPr="005D79A5">
              <w:rPr>
                <w:b/>
                <w:i/>
              </w:rPr>
              <w:t xml:space="preserve">Priemerné prepočítané počty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F2FACF" w14:textId="77777777" w:rsidR="00BC59CF" w:rsidRPr="005D79A5" w:rsidRDefault="00BC59CF" w:rsidP="00A45E2F">
            <w:pPr>
              <w:spacing w:line="259" w:lineRule="auto"/>
              <w:ind w:left="29"/>
            </w:pPr>
            <w:r w:rsidRPr="005D79A5">
              <w:rPr>
                <w:b/>
                <w:i/>
              </w:rPr>
              <w:t xml:space="preserve">Nárast/pokles </w:t>
            </w:r>
          </w:p>
        </w:tc>
      </w:tr>
      <w:tr w:rsidR="00BC59CF" w:rsidRPr="00E066E0" w14:paraId="3DBC7C91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00DA5D" w14:textId="15E1C643" w:rsidR="00BC59CF" w:rsidRPr="00E066E0" w:rsidRDefault="00804CCB" w:rsidP="00A45E2F">
            <w:pPr>
              <w:spacing w:line="259" w:lineRule="auto"/>
              <w:rPr>
                <w:highlight w:val="cyan"/>
              </w:rPr>
            </w:pPr>
            <w:bookmarkStart w:id="8" w:name="_Hlk131673399"/>
            <w:r w:rsidRPr="00804CCB">
              <w:t>Rok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14:paraId="0DC62D74" w14:textId="4EC58EC5" w:rsidR="00BC59CF" w:rsidRPr="00595861" w:rsidRDefault="00267A97" w:rsidP="004350D8">
            <w:pPr>
              <w:spacing w:line="259" w:lineRule="auto"/>
              <w:ind w:right="60"/>
            </w:pPr>
            <w:r>
              <w:t xml:space="preserve">                </w:t>
            </w:r>
            <w:r w:rsidR="00BC59CF" w:rsidRPr="00595861">
              <w:t>202</w:t>
            </w:r>
            <w: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14:paraId="06CA84CD" w14:textId="5E831249" w:rsidR="00BC59CF" w:rsidRPr="00595861" w:rsidRDefault="00BC59CF" w:rsidP="00A45E2F">
            <w:pPr>
              <w:spacing w:line="259" w:lineRule="auto"/>
              <w:ind w:right="60"/>
              <w:jc w:val="center"/>
            </w:pPr>
            <w:r w:rsidRPr="00595861">
              <w:t>202</w:t>
            </w:r>
            <w:r w:rsidR="00267A97"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554ECB" w14:textId="62B1934B" w:rsidR="00BC59CF" w:rsidRPr="00E066E0" w:rsidRDefault="00BC59CF" w:rsidP="00A45E2F">
            <w:pPr>
              <w:spacing w:line="259" w:lineRule="auto"/>
              <w:ind w:right="60"/>
              <w:jc w:val="center"/>
              <w:rPr>
                <w:highlight w:val="cyan"/>
              </w:rPr>
            </w:pPr>
            <w:r w:rsidRPr="00595861">
              <w:t>202</w:t>
            </w:r>
            <w:r w:rsidR="00267A97">
              <w:t>4</w:t>
            </w:r>
            <w:r w:rsidRPr="00595861">
              <w:t xml:space="preserve"> -202</w:t>
            </w:r>
            <w:r w:rsidR="00267A97">
              <w:t>3</w:t>
            </w:r>
          </w:p>
        </w:tc>
      </w:tr>
      <w:tr w:rsidR="00BC59CF" w:rsidRPr="00E066E0" w14:paraId="4B406BE7" w14:textId="77777777" w:rsidTr="00A45E2F">
        <w:trPr>
          <w:trHeight w:val="28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0390B5" w14:textId="77777777" w:rsidR="00BC59CF" w:rsidRPr="005D79A5" w:rsidRDefault="00BC59CF" w:rsidP="00A45E2F">
            <w:pPr>
              <w:spacing w:line="259" w:lineRule="auto"/>
            </w:pPr>
            <w:bookmarkStart w:id="9" w:name="_Hlk99110417"/>
            <w:r w:rsidRPr="005D79A5">
              <w:t xml:space="preserve">Spolu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3AD334EA" w14:textId="672A1A0C" w:rsidR="00BC59CF" w:rsidRPr="00595861" w:rsidRDefault="007E3BDE" w:rsidP="00A45E2F">
            <w:pPr>
              <w:spacing w:line="259" w:lineRule="auto"/>
              <w:ind w:right="60"/>
              <w:jc w:val="center"/>
            </w:pPr>
            <w:r>
              <w:t>4</w:t>
            </w:r>
            <w:r w:rsidR="00833389">
              <w:t>61</w:t>
            </w:r>
            <w:r>
              <w:t>,</w:t>
            </w:r>
            <w:r w:rsidR="00833389"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53A1C196" w14:textId="0D507D3C" w:rsidR="00BC59CF" w:rsidRPr="00595861" w:rsidRDefault="00804CCB" w:rsidP="00A45E2F">
            <w:pPr>
              <w:spacing w:line="259" w:lineRule="auto"/>
              <w:ind w:right="60"/>
              <w:jc w:val="center"/>
            </w:pPr>
            <w:r>
              <w:t>4</w:t>
            </w:r>
            <w:r w:rsidR="00833389">
              <w:t>63,2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8C7A65" w14:textId="161A49D2" w:rsidR="00BC59CF" w:rsidRPr="00595861" w:rsidRDefault="00833389" w:rsidP="00A45E2F">
            <w:pPr>
              <w:spacing w:line="259" w:lineRule="auto"/>
              <w:ind w:right="58"/>
              <w:jc w:val="center"/>
            </w:pPr>
            <w:r>
              <w:t>1</w:t>
            </w:r>
            <w:r w:rsidR="00BC59CF">
              <w:t>,</w:t>
            </w:r>
            <w:r>
              <w:t>3</w:t>
            </w:r>
          </w:p>
        </w:tc>
      </w:tr>
      <w:tr w:rsidR="00BC59CF" w:rsidRPr="00E066E0" w14:paraId="0EF0F8C1" w14:textId="77777777" w:rsidTr="00A45E2F">
        <w:trPr>
          <w:trHeight w:val="28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5676" w14:textId="58059F51" w:rsidR="00BC59CF" w:rsidRPr="005D79A5" w:rsidRDefault="00BC59CF" w:rsidP="00A45E2F">
            <w:pPr>
              <w:spacing w:line="259" w:lineRule="auto"/>
            </w:pPr>
            <w:r w:rsidRPr="005D79A5">
              <w:t xml:space="preserve"> profesor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9A2AB" w14:textId="4AFC6EBF" w:rsidR="00BC59CF" w:rsidRPr="00595861" w:rsidRDefault="00BC59CF" w:rsidP="00A45E2F">
            <w:pPr>
              <w:spacing w:line="259" w:lineRule="auto"/>
              <w:ind w:right="60"/>
              <w:jc w:val="center"/>
            </w:pPr>
            <w:r w:rsidRPr="00595861">
              <w:t>6</w:t>
            </w:r>
            <w:r w:rsidR="007E3BDE">
              <w:t>2,9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23DA3" w14:textId="71ECA147" w:rsidR="00BC59CF" w:rsidRPr="00595861" w:rsidRDefault="00BC59CF" w:rsidP="00A45E2F">
            <w:pPr>
              <w:spacing w:line="259" w:lineRule="auto"/>
              <w:ind w:right="60"/>
              <w:jc w:val="center"/>
            </w:pPr>
            <w:r>
              <w:t>62,</w:t>
            </w:r>
            <w:r w:rsidR="00DC0134"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034813" w14:textId="7EDB4FF4" w:rsidR="00BC59CF" w:rsidRPr="00595861" w:rsidRDefault="007E3BDE" w:rsidP="00A45E2F">
            <w:pPr>
              <w:spacing w:line="259" w:lineRule="auto"/>
              <w:ind w:right="58"/>
              <w:jc w:val="center"/>
            </w:pPr>
            <w:r>
              <w:t>-0,4</w:t>
            </w:r>
          </w:p>
        </w:tc>
      </w:tr>
      <w:tr w:rsidR="00BC59CF" w:rsidRPr="00E066E0" w14:paraId="456A169E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B8F0" w14:textId="5F16D5AA" w:rsidR="00BC59CF" w:rsidRPr="005D79A5" w:rsidRDefault="00BC59CF" w:rsidP="00A45E2F">
            <w:pPr>
              <w:spacing w:line="259" w:lineRule="auto"/>
            </w:pPr>
            <w:r w:rsidRPr="005D79A5">
              <w:t xml:space="preserve"> docent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5AAB33" w14:textId="1F464EA8" w:rsidR="00BC59CF" w:rsidRPr="00595861" w:rsidRDefault="007E3BDE" w:rsidP="00A45E2F">
            <w:pPr>
              <w:spacing w:line="259" w:lineRule="auto"/>
              <w:ind w:right="60"/>
              <w:jc w:val="center"/>
            </w:pPr>
            <w:r>
              <w:t>98,8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69F77" w14:textId="1C7D2E97" w:rsidR="00BC59CF" w:rsidRPr="00595861" w:rsidRDefault="00BC59CF" w:rsidP="00A45E2F">
            <w:pPr>
              <w:spacing w:line="259" w:lineRule="auto"/>
              <w:ind w:right="60"/>
              <w:jc w:val="center"/>
            </w:pPr>
            <w:r>
              <w:t>9</w:t>
            </w:r>
            <w:r w:rsidR="00DC0134">
              <w:t>7,9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006D33" w14:textId="5605EB0F" w:rsidR="00BC59CF" w:rsidRPr="00595861" w:rsidRDefault="007E3BDE" w:rsidP="00A45E2F">
            <w:pPr>
              <w:spacing w:line="259" w:lineRule="auto"/>
              <w:ind w:right="53"/>
              <w:jc w:val="center"/>
            </w:pPr>
            <w:r>
              <w:t>-0,9</w:t>
            </w:r>
          </w:p>
        </w:tc>
      </w:tr>
      <w:tr w:rsidR="00BC59CF" w:rsidRPr="00E066E0" w14:paraId="75A201F6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841E" w14:textId="51D88EEC" w:rsidR="00BC59CF" w:rsidRPr="005D79A5" w:rsidRDefault="00BC59CF" w:rsidP="00A45E2F">
            <w:pPr>
              <w:spacing w:line="259" w:lineRule="auto"/>
            </w:pPr>
            <w:r w:rsidRPr="005D79A5">
              <w:t xml:space="preserve"> odborný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328C6" w14:textId="6E653FE9" w:rsidR="00BC59CF" w:rsidRPr="00595861" w:rsidRDefault="00BC59CF" w:rsidP="00A45E2F">
            <w:pPr>
              <w:spacing w:line="259" w:lineRule="auto"/>
              <w:ind w:right="60"/>
              <w:jc w:val="center"/>
            </w:pPr>
            <w:r w:rsidRPr="00595861">
              <w:t>1</w:t>
            </w:r>
            <w:r w:rsidR="007E3BDE">
              <w:t>15,7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FFE69" w14:textId="50EE0D51" w:rsidR="00BC59CF" w:rsidRPr="00595861" w:rsidRDefault="00BC59CF" w:rsidP="00A45E2F">
            <w:pPr>
              <w:spacing w:line="259" w:lineRule="auto"/>
              <w:ind w:right="60"/>
              <w:jc w:val="center"/>
            </w:pPr>
            <w:r>
              <w:t>115,</w:t>
            </w:r>
            <w:r w:rsidR="00DC0134"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FCAC1" w14:textId="5513251F" w:rsidR="00BC59CF" w:rsidRPr="00595861" w:rsidRDefault="007E3BDE" w:rsidP="00A45E2F">
            <w:pPr>
              <w:spacing w:line="259" w:lineRule="auto"/>
              <w:ind w:right="58"/>
              <w:jc w:val="center"/>
            </w:pPr>
            <w:r>
              <w:t xml:space="preserve">  0,1</w:t>
            </w:r>
          </w:p>
        </w:tc>
      </w:tr>
      <w:tr w:rsidR="00BC59CF" w:rsidRPr="00E066E0" w14:paraId="166FF089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2EE1" w14:textId="4566A66E" w:rsidR="00BC59CF" w:rsidRPr="005D79A5" w:rsidRDefault="00BC59CF" w:rsidP="00A45E2F">
            <w:pPr>
              <w:spacing w:line="259" w:lineRule="auto"/>
            </w:pPr>
            <w:r w:rsidRPr="005D79A5">
              <w:t xml:space="preserve">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D58F7" w14:textId="04058A2B" w:rsidR="00BC59CF" w:rsidRPr="00595861" w:rsidRDefault="00BC59CF" w:rsidP="00A45E2F">
            <w:pPr>
              <w:spacing w:line="259" w:lineRule="auto"/>
              <w:ind w:right="62"/>
              <w:jc w:val="center"/>
            </w:pPr>
            <w:r w:rsidRPr="00595861">
              <w:t>1,</w:t>
            </w:r>
            <w:r w:rsidR="007E3BDE"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AAC70" w14:textId="1E6E2475" w:rsidR="00BC59CF" w:rsidRPr="00595861" w:rsidRDefault="00DC0134" w:rsidP="00A45E2F">
            <w:pPr>
              <w:spacing w:line="259" w:lineRule="auto"/>
              <w:ind w:right="62"/>
              <w:jc w:val="center"/>
            </w:pPr>
            <w:r>
              <w:t>0,4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05FAB7" w14:textId="4198340F" w:rsidR="00BC59CF" w:rsidRPr="00595861" w:rsidRDefault="00BC59CF" w:rsidP="00A45E2F">
            <w:pPr>
              <w:spacing w:line="259" w:lineRule="auto"/>
              <w:ind w:right="55"/>
              <w:jc w:val="center"/>
            </w:pPr>
            <w:r>
              <w:t>-0,</w:t>
            </w:r>
            <w:r w:rsidR="007E3BDE">
              <w:t>6</w:t>
            </w:r>
          </w:p>
        </w:tc>
      </w:tr>
      <w:tr w:rsidR="00BC59CF" w14:paraId="229DE99A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822" w14:textId="332DD4D7" w:rsidR="00BC59CF" w:rsidRPr="005D79A5" w:rsidRDefault="00BC59CF" w:rsidP="00A45E2F">
            <w:pPr>
              <w:spacing w:line="259" w:lineRule="auto"/>
            </w:pPr>
            <w:r w:rsidRPr="005D79A5">
              <w:t xml:space="preserve"> lektor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C8B51" w14:textId="28480E48" w:rsidR="00BC59CF" w:rsidRPr="00595861" w:rsidRDefault="007E3BDE" w:rsidP="00A45E2F">
            <w:pPr>
              <w:spacing w:line="259" w:lineRule="auto"/>
              <w:ind w:right="60"/>
              <w:jc w:val="center"/>
            </w:pPr>
            <w:r>
              <w:t>2,4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96988" w14:textId="68730E99" w:rsidR="00BC59CF" w:rsidRPr="00595861" w:rsidRDefault="00DC0134" w:rsidP="00A45E2F">
            <w:pPr>
              <w:spacing w:line="259" w:lineRule="auto"/>
              <w:ind w:right="60"/>
              <w:jc w:val="center"/>
            </w:pPr>
            <w:r>
              <w:t>5,2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26EB5" w14:textId="26390DC5" w:rsidR="00BC59CF" w:rsidRPr="00595861" w:rsidRDefault="00BC59CF" w:rsidP="00A45E2F">
            <w:pPr>
              <w:spacing w:line="259" w:lineRule="auto"/>
              <w:ind w:right="53"/>
              <w:jc w:val="center"/>
            </w:pPr>
            <w:r>
              <w:t>+</w:t>
            </w:r>
            <w:r w:rsidR="007E3BDE">
              <w:t>2</w:t>
            </w:r>
            <w:r>
              <w:t>,</w:t>
            </w:r>
            <w:r w:rsidR="007E3BDE">
              <w:t>8</w:t>
            </w:r>
          </w:p>
        </w:tc>
      </w:tr>
      <w:tr w:rsidR="00DC0134" w14:paraId="34E2ECF1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D1DD" w14:textId="638B5105" w:rsidR="00DC0134" w:rsidRPr="005D79A5" w:rsidRDefault="00804CCB" w:rsidP="00A45E2F">
            <w:pPr>
              <w:spacing w:line="259" w:lineRule="auto"/>
            </w:pPr>
            <w:r>
              <w:t>o</w:t>
            </w:r>
            <w:r w:rsidR="00DC0134">
              <w:t>dborní zamestnanci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EFF60F" w14:textId="5CDEC2E3" w:rsidR="00DC0134" w:rsidRPr="00595861" w:rsidRDefault="007E3BDE" w:rsidP="00A45E2F">
            <w:pPr>
              <w:spacing w:line="259" w:lineRule="auto"/>
              <w:ind w:right="60"/>
              <w:jc w:val="center"/>
            </w:pPr>
            <w:r>
              <w:t>31,3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F7124" w14:textId="72DDA81A" w:rsidR="00DC0134" w:rsidRDefault="00DC0134" w:rsidP="00A45E2F">
            <w:pPr>
              <w:spacing w:line="259" w:lineRule="auto"/>
              <w:ind w:right="60"/>
              <w:jc w:val="center"/>
            </w:pPr>
            <w:r>
              <w:t>31,1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646E28" w14:textId="47E54516" w:rsidR="00DC0134" w:rsidRDefault="007E3BDE" w:rsidP="007E3BDE">
            <w:pPr>
              <w:spacing w:line="259" w:lineRule="auto"/>
              <w:ind w:right="53"/>
            </w:pPr>
            <w:r>
              <w:t xml:space="preserve">          -0,2</w:t>
            </w:r>
          </w:p>
        </w:tc>
      </w:tr>
      <w:tr w:rsidR="00DC0134" w14:paraId="31C80C5D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AF7F" w14:textId="6607AC2F" w:rsidR="00DC0134" w:rsidRPr="005D79A5" w:rsidRDefault="00804CCB" w:rsidP="00A45E2F">
            <w:pPr>
              <w:spacing w:line="259" w:lineRule="auto"/>
            </w:pPr>
            <w:r>
              <w:t>a</w:t>
            </w:r>
            <w:r w:rsidR="00DC0134">
              <w:t>dministratívni zamestnanci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615BB9" w14:textId="66CE418C" w:rsidR="00DC0134" w:rsidRPr="00595861" w:rsidRDefault="007E3BDE" w:rsidP="00A45E2F">
            <w:pPr>
              <w:spacing w:line="259" w:lineRule="auto"/>
              <w:ind w:right="60"/>
              <w:jc w:val="center"/>
            </w:pPr>
            <w:r>
              <w:t>99,8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8B813" w14:textId="50529DE3" w:rsidR="00DC0134" w:rsidRDefault="00DC0134" w:rsidP="00A45E2F">
            <w:pPr>
              <w:spacing w:line="259" w:lineRule="auto"/>
              <w:ind w:right="60"/>
              <w:jc w:val="center"/>
            </w:pPr>
            <w:r>
              <w:t>101</w:t>
            </w:r>
            <w:r w:rsidR="00804CCB"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A9D7A" w14:textId="1EAC289B" w:rsidR="00DC0134" w:rsidRDefault="007E3BDE" w:rsidP="00A45E2F">
            <w:pPr>
              <w:spacing w:line="259" w:lineRule="auto"/>
              <w:ind w:right="53"/>
              <w:jc w:val="center"/>
            </w:pPr>
            <w:r>
              <w:t>1,2</w:t>
            </w:r>
          </w:p>
        </w:tc>
      </w:tr>
      <w:tr w:rsidR="00DC0134" w14:paraId="319B5B59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B884" w14:textId="027F9D70" w:rsidR="00DC0134" w:rsidRDefault="00804CCB" w:rsidP="00A45E2F">
            <w:pPr>
              <w:spacing w:line="259" w:lineRule="auto"/>
            </w:pPr>
            <w:r>
              <w:t>v</w:t>
            </w:r>
            <w:r w:rsidR="00DC0134">
              <w:t>ýskumní alebo umeleckí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658D3" w14:textId="5E69C8F6" w:rsidR="00DC0134" w:rsidRPr="00595861" w:rsidRDefault="007E3BDE" w:rsidP="00A45E2F">
            <w:pPr>
              <w:spacing w:line="259" w:lineRule="auto"/>
              <w:ind w:right="60"/>
              <w:jc w:val="center"/>
            </w:pPr>
            <w:r>
              <w:t>10,6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A6B53" w14:textId="7E5E84BF" w:rsidR="00DC0134" w:rsidRDefault="00804CCB" w:rsidP="00A45E2F">
            <w:pPr>
              <w:spacing w:line="259" w:lineRule="auto"/>
              <w:ind w:right="60"/>
              <w:jc w:val="center"/>
            </w:pPr>
            <w:r>
              <w:t>10,7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440C5F" w14:textId="0CF84998" w:rsidR="00DC0134" w:rsidRDefault="007E3BDE" w:rsidP="00A45E2F">
            <w:pPr>
              <w:spacing w:line="259" w:lineRule="auto"/>
              <w:ind w:right="53"/>
              <w:jc w:val="center"/>
            </w:pPr>
            <w:r>
              <w:t xml:space="preserve"> 0,1</w:t>
            </w:r>
          </w:p>
        </w:tc>
      </w:tr>
      <w:tr w:rsidR="00DC0134" w14:paraId="69B264AB" w14:textId="77777777" w:rsidTr="00A45E2F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AE0C" w14:textId="25972A92" w:rsidR="00DC0134" w:rsidRDefault="00804CCB" w:rsidP="00A45E2F">
            <w:pPr>
              <w:spacing w:line="259" w:lineRule="auto"/>
            </w:pPr>
            <w:r>
              <w:t>p</w:t>
            </w:r>
            <w:r w:rsidR="00DC0134">
              <w:t>revádzkoví zamestnanci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9E39D" w14:textId="79BB8089" w:rsidR="00DC0134" w:rsidRPr="00595861" w:rsidRDefault="007E3BDE" w:rsidP="00A45E2F">
            <w:pPr>
              <w:spacing w:line="259" w:lineRule="auto"/>
              <w:ind w:right="60"/>
              <w:jc w:val="center"/>
            </w:pPr>
            <w:r>
              <w:t>39,4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DF565" w14:textId="7E9C5EE7" w:rsidR="00DC0134" w:rsidRDefault="00804CCB" w:rsidP="00A45E2F">
            <w:pPr>
              <w:spacing w:line="259" w:lineRule="auto"/>
              <w:ind w:right="60"/>
              <w:jc w:val="center"/>
            </w:pPr>
            <w:r>
              <w:t>38,6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C0B18" w14:textId="0A8E379D" w:rsidR="00DC0134" w:rsidRDefault="007E3BDE" w:rsidP="00A45E2F">
            <w:pPr>
              <w:spacing w:line="259" w:lineRule="auto"/>
              <w:ind w:right="53"/>
              <w:jc w:val="center"/>
            </w:pPr>
            <w:r>
              <w:t>-0,8</w:t>
            </w:r>
          </w:p>
        </w:tc>
      </w:tr>
      <w:bookmarkEnd w:id="8"/>
      <w:bookmarkEnd w:id="9"/>
    </w:tbl>
    <w:p w14:paraId="1F17763D" w14:textId="77777777" w:rsidR="00BC59CF" w:rsidRDefault="00BC59CF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621FCBF6" w14:textId="77777777" w:rsidR="00BC59CF" w:rsidRDefault="00BC59CF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58CF32B2" w14:textId="77777777" w:rsidR="009D7207" w:rsidRDefault="009D7207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586AE5DA" w14:textId="77777777" w:rsidR="009D7207" w:rsidRDefault="009D7207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6F14E046" w14:textId="77777777" w:rsidR="009D7207" w:rsidRDefault="009D7207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2ECBCF5D" w14:textId="77777777" w:rsidR="009D7207" w:rsidRDefault="009D7207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11949A12" w14:textId="77777777" w:rsidR="009D7207" w:rsidRDefault="009D7207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24C624FE" w14:textId="77777777" w:rsidR="009D7207" w:rsidRDefault="009D7207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5B67C445" w14:textId="67BF4F88" w:rsidR="00BC59CF" w:rsidRPr="00A36A44" w:rsidRDefault="00BC59CF" w:rsidP="00BC59CF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-</w:t>
      </w:r>
      <w:r w:rsidRPr="00BF622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Vývoj priemernej mesačnej mzdy zamestnancov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podľa kategórií zamestnancov Trnavskej univerzity za obdobie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2</w:t>
      </w:r>
      <w:r w:rsidR="00833389">
        <w:rPr>
          <w:rFonts w:asciiTheme="minorHAnsi" w:hAnsiTheme="minorHAnsi" w:cs="Arial"/>
          <w:i/>
          <w:color w:val="000000" w:themeColor="text1"/>
          <w:sz w:val="22"/>
          <w:szCs w:val="22"/>
        </w:rPr>
        <w:t>3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2</w:t>
      </w:r>
      <w:r w:rsidR="00833389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(v Eur) </w:t>
      </w:r>
    </w:p>
    <w:p w14:paraId="36E17C49" w14:textId="1FD65B38" w:rsidR="00BC59CF" w:rsidRDefault="00BC59CF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7D7628D7" w14:textId="2BE59F00" w:rsidR="003E24F3" w:rsidRDefault="003E24F3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0369C19C" w14:textId="67E0D728" w:rsidR="00BC59CF" w:rsidRDefault="003E24F3" w:rsidP="00BC59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  <w:r>
        <w:rPr>
          <w:noProof/>
        </w:rPr>
        <w:drawing>
          <wp:inline distT="0" distB="0" distL="0" distR="0" wp14:anchorId="37AB0115" wp14:editId="436B6F3D">
            <wp:extent cx="5565144" cy="2857500"/>
            <wp:effectExtent l="0" t="0" r="1651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7BF58E1A-78EF-4FB9-8C71-5972F5AA9A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7D22DD" w14:textId="23117C19" w:rsidR="003E24F3" w:rsidRDefault="003E24F3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D28E4A" w14:textId="593032AC" w:rsidR="003E24F3" w:rsidRDefault="003E24F3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Priemerná mzda </w:t>
      </w:r>
      <w:r w:rsidR="00CD5B04">
        <w:rPr>
          <w:rFonts w:asciiTheme="minorHAnsi" w:hAnsiTheme="minorHAnsi" w:cstheme="minorHAnsi"/>
          <w:color w:val="000000" w:themeColor="text1"/>
          <w:sz w:val="22"/>
          <w:szCs w:val="22"/>
        </w:rPr>
        <w:t>na univerzite vzrástla  v roku 2024 o 8,3 %. Najvyšší nárast bol v kategórii vysokoškolskí učitelia a to o 9,8%.</w:t>
      </w:r>
    </w:p>
    <w:p w14:paraId="0D30AFD6" w14:textId="77777777" w:rsidR="003E24F3" w:rsidRDefault="003E24F3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351CEC" w14:textId="11AF4D2F" w:rsidR="00BC59CF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Analytické údaje za vybrané oblasti hlavnej činnosti TU v Trnave sú uvedené v jednotlivých tabuľkách výročnej správy o hospodárení:</w:t>
      </w:r>
    </w:p>
    <w:p w14:paraId="0FA33366" w14:textId="01DBC332" w:rsidR="00BC59CF" w:rsidRPr="00303449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7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„Náklady TU v Trnave na štipendiá interných doktorandov v roku 202</w:t>
      </w:r>
      <w:r w:rsidR="008333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prehľad o krytí štipendií interných doktorandov z dotácie MŠVVaŠ SR, o počte </w:t>
      </w:r>
      <w:proofErr w:type="spellStart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osobomesiacov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spolu za rok 202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o priemernom mesačnom náklade na doktoranda. Z dotačných zdrojov boli vyplatené štipendiá vo výške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300 437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77,36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z celkových nákladov. Z </w:t>
      </w:r>
      <w:proofErr w:type="spellStart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mimodotačných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zdrojov boli financované štipendiá interných doktorandov vo výške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87 938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22,64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celkových nákladov na štipendiá doktorandov. Celková výška vyplatených štipendií interným doktorandom predstavovala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38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375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Priemerný mesačný náklad na 1 interného doktoranda bol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1 0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82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(medziročný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39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</w:p>
    <w:p w14:paraId="02F7833C" w14:textId="228B7FD6" w:rsidR="00BC59CF" w:rsidRPr="00303449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8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sociálne štipendiá (§ 96 zákona) za roky 202</w:t>
      </w:r>
      <w:r w:rsidR="004D1B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4D1B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príjmoch a výdavkoch na sociálne štipendiá a o počte študentov poberajúcich sociálne štipendiá v jednotlivých rokoch. Vyplatené štipendiá predstavovali čiastku 1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74 660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(medziročný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pokles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 3,54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Nevyčerpaná dotácia z roku 202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použitá v roku 202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predstavuje čiastku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212 278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Počet študentov poberajúcich sociálne štipendium podľa stavu k 31.12 202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93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11403">
        <w:rPr>
          <w:rFonts w:asciiTheme="minorHAnsi" w:hAnsiTheme="minorHAnsi" w:cstheme="minorHAnsi"/>
          <w:color w:val="000000" w:themeColor="text1"/>
          <w:sz w:val="22"/>
          <w:szCs w:val="22"/>
        </w:rPr>
        <w:t>V porovnaní s rokom 2023 poberalo o 22 študentov menej sociálne štipendium.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Priemerná mesačná výška štipendia na 1 študenta bola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D1B5A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6C724A98" w14:textId="68B82FE7" w:rsidR="00BC59CF" w:rsidRPr="00303449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V roku 202</w:t>
      </w:r>
      <w:r w:rsidR="00C1140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vyplatili aj tehotenské štipendiá. Výdavky na tehotenské štipendiá predstavovali sumu </w:t>
      </w:r>
      <w:r w:rsidR="00554E01">
        <w:rPr>
          <w:rFonts w:asciiTheme="minorHAnsi" w:hAnsiTheme="minorHAnsi" w:cstheme="minorHAnsi"/>
          <w:color w:val="000000" w:themeColor="text1"/>
          <w:sz w:val="22"/>
          <w:szCs w:val="22"/>
        </w:rPr>
        <w:t>22 600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Toto štipendium bolo poberalo </w:t>
      </w:r>
      <w:r w:rsidR="00554E01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</w:t>
      </w:r>
      <w:r w:rsidR="00330E75">
        <w:rPr>
          <w:rFonts w:asciiTheme="minorHAnsi" w:hAnsiTheme="minorHAnsi" w:cstheme="minorHAnsi"/>
          <w:color w:val="000000" w:themeColor="text1"/>
          <w:sz w:val="22"/>
          <w:szCs w:val="22"/>
        </w:rPr>
        <w:t>iek</w:t>
      </w:r>
      <w:r w:rsidR="0016149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54E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čo je 38% menej ako v roku 2023.</w:t>
      </w:r>
    </w:p>
    <w:p w14:paraId="77A49317" w14:textId="5ED1DF44" w:rsidR="00BC59CF" w:rsidRPr="00303449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9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výnosy a náklady študentských domovov za roky  202</w:t>
      </w:r>
      <w:r w:rsidR="00554E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554E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(vrátane zmluvných zariadení)“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výnosoch a nákladoch študentských domovov, o ich lôžkovej kapacite a o počte ubytovaných študentov. Celkové výnosy študentských domovov v roku 202</w:t>
      </w:r>
      <w:r w:rsidR="00051F2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dosiahli čiastku </w:t>
      </w:r>
      <w:r w:rsidR="00051F20">
        <w:rPr>
          <w:rFonts w:asciiTheme="minorHAnsi" w:hAnsiTheme="minorHAnsi" w:cstheme="minorHAnsi"/>
          <w:color w:val="000000" w:themeColor="text1"/>
          <w:sz w:val="22"/>
          <w:szCs w:val="22"/>
        </w:rPr>
        <w:t>540 999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Ich štruktúra je nasledovná: </w:t>
      </w:r>
    </w:p>
    <w:p w14:paraId="7FABE372" w14:textId="114A7EA2" w:rsidR="00BC59CF" w:rsidRPr="00303449" w:rsidRDefault="00BC59CF" w:rsidP="00BC59C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dotačné zdroje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51F20">
        <w:rPr>
          <w:rFonts w:asciiTheme="minorHAnsi" w:hAnsiTheme="minorHAnsi" w:cstheme="minorHAnsi"/>
          <w:color w:val="000000" w:themeColor="text1"/>
          <w:sz w:val="22"/>
          <w:szCs w:val="22"/>
        </w:rPr>
        <w:t>75 435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>50,91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004183A1" w14:textId="53B91C91" w:rsidR="00BC59CF" w:rsidRPr="00303449" w:rsidRDefault="00BC59CF" w:rsidP="00BC59C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b) poplatky od ubytovaných študentov 2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>56 155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>47,35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6C636AA9" w14:textId="155D1033" w:rsidR="00BC59CF" w:rsidRPr="00303449" w:rsidRDefault="00BC59CF" w:rsidP="00BC59C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ostatné výnosy 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>8 689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>1,74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3CFFD7EC" w14:textId="2DB2A8F0" w:rsidR="00BC59CF" w:rsidRPr="00303449" w:rsidRDefault="00BC59CF" w:rsidP="00BC59C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Náklady študentských domovov predstavovali v roku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sumu 4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>49 456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Rozdiel výnosov a nákladov v hodnotenom období dosiahol sumu 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>91 542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="007B0D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zisk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E0B4AA2" w14:textId="70470F3F" w:rsidR="00BC59CF" w:rsidRPr="00303449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Tabuľky číslo 11 a 12 zobrazujú finančné prostriedky na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obstaranie a technické zhodnotenie dlhodobého </w:t>
      </w:r>
      <w:proofErr w:type="spellStart"/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majektu</w:t>
      </w:r>
      <w:proofErr w:type="spellEnd"/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 v Trnave. V tabuľke číslo 11 je prehľad zdrojov a tabuľka číslo 12 informuje o výdavkoch na obstaranie a technické zhodnotenie dlhodobého majetku, ktoré boli vo výške 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649 558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Eur, z toho z bežnej dotácie prostredníctvom reprodukcie 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>11,12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%, z ostatných zdrojov prostredníctvom fondu reprodukcie  8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>1,09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a z iných zdrojov mimo fondu reprodukcie 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>7,79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. Na nákup prístrojov a zariadení  sa vynaložilo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269 426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 na nákup 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>softvéru 99 316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na projektovú dokumentáciu 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>48 683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a technické zhodnotenie stavieb 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>219 772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523AF0C8" w14:textId="5B1674BA" w:rsidR="00BC59CF" w:rsidRPr="00303449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14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„Príjmy z Plánu obnovy a odolnosti z kapitoly MŠVVaŠ SR v roku 202</w:t>
      </w:r>
      <w:r w:rsidR="002728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 vykazuje príjmy vo výške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941 241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="002728BE">
        <w:rPr>
          <w:rFonts w:asciiTheme="minorHAnsi" w:hAnsiTheme="minorHAnsi" w:cstheme="minorHAnsi"/>
          <w:color w:val="000000" w:themeColor="text1"/>
          <w:sz w:val="22"/>
          <w:szCs w:val="22"/>
        </w:rPr>
        <w:t>, čo je v porovnaní s rokom 2023 o 206 % viac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A3410E2" w14:textId="0ADA44F8" w:rsidR="00BC59CF" w:rsidRPr="00303449" w:rsidRDefault="00BC59CF" w:rsidP="00BC59CF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19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„Štipendiá z vlastných zdrojov podľa § 97 zákona v rokoch 202</w:t>
      </w:r>
      <w:r w:rsidR="008A2A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8A2A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TU v Trnave vyplatila štipendiá z vlastných zdrojov vo výške </w:t>
      </w:r>
      <w:r w:rsidR="000D61DB">
        <w:rPr>
          <w:rFonts w:asciiTheme="minorHAnsi" w:hAnsiTheme="minorHAnsi" w:cstheme="minorHAnsi"/>
          <w:color w:val="000000" w:themeColor="text1"/>
          <w:sz w:val="22"/>
          <w:szCs w:val="22"/>
        </w:rPr>
        <w:t>104 221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a to </w:t>
      </w:r>
      <w:r w:rsidR="000D61DB">
        <w:rPr>
          <w:rFonts w:asciiTheme="minorHAnsi" w:hAnsiTheme="minorHAnsi" w:cstheme="minorHAnsi"/>
          <w:color w:val="000000" w:themeColor="text1"/>
          <w:sz w:val="22"/>
          <w:szCs w:val="22"/>
        </w:rPr>
        <w:t>594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 pri priemernom štipendiu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A2A09">
        <w:rPr>
          <w:rFonts w:asciiTheme="minorHAnsi" w:hAnsiTheme="minorHAnsi" w:cstheme="minorHAnsi"/>
          <w:color w:val="000000" w:themeColor="text1"/>
          <w:sz w:val="22"/>
          <w:szCs w:val="22"/>
        </w:rPr>
        <w:t>75,46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7A787AFA" w14:textId="66123595" w:rsidR="00BC59CF" w:rsidRPr="00303449" w:rsidRDefault="00BC59CF" w:rsidP="008A2A09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20 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„Motivačné štipendiá v rokoch 202</w:t>
      </w:r>
      <w:r w:rsidR="008A2A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8A2A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(v zmysle § 96a zákona)“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>, vykazuje príjem z dotácie MŠVVaŠ SR na motivačné štipendiá v roku 202</w:t>
      </w:r>
      <w:r w:rsidR="008A2A0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vo výške </w:t>
      </w:r>
      <w:r w:rsidR="008A2A09">
        <w:rPr>
          <w:rFonts w:asciiTheme="minorHAnsi" w:hAnsiTheme="minorHAnsi" w:cstheme="minorHAnsi"/>
          <w:color w:val="000000" w:themeColor="text1"/>
          <w:sz w:val="22"/>
          <w:szCs w:val="22"/>
        </w:rPr>
        <w:t>264 710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Výdavky na motivačné štipendiá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boli vyplatené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A2A09">
        <w:rPr>
          <w:rFonts w:asciiTheme="minorHAnsi" w:hAnsiTheme="minorHAnsi" w:cstheme="minorHAnsi"/>
          <w:color w:val="000000" w:themeColor="text1"/>
          <w:sz w:val="22"/>
          <w:szCs w:val="22"/>
        </w:rPr>
        <w:t>38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študentom. Priemerná výška štipendia na 1 študenta bola </w:t>
      </w:r>
      <w:r w:rsidR="008A2A09">
        <w:rPr>
          <w:rFonts w:asciiTheme="minorHAnsi" w:hAnsiTheme="minorHAnsi" w:cstheme="minorHAnsi"/>
          <w:color w:val="000000" w:themeColor="text1"/>
          <w:sz w:val="22"/>
          <w:szCs w:val="22"/>
        </w:rPr>
        <w:t>604,36</w:t>
      </w:r>
      <w:r w:rsidRPr="00303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7B12B098" w14:textId="77777777" w:rsidR="00BC59CF" w:rsidRPr="00303449" w:rsidRDefault="00BC59CF" w:rsidP="00BC59C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24EAD288" w14:textId="77777777" w:rsidR="007F14CD" w:rsidRPr="00303449" w:rsidRDefault="007F14CD" w:rsidP="00B5492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0C34F1CE" w14:textId="36278374" w:rsidR="0020798B" w:rsidRPr="00A42529" w:rsidRDefault="0020798B" w:rsidP="00B5492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3</w:t>
      </w: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VÝVOJ  FONDOV</w:t>
      </w:r>
    </w:p>
    <w:p w14:paraId="662D1485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79245B" w14:textId="77777777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fondov je jedným z významných ukazovateľov hospodárenia univerzity. Trnavská univerzita má v súlade so zákonom o vysokých školách vytvorené tieto finančné fondy:</w:t>
      </w:r>
    </w:p>
    <w:p w14:paraId="4474A26E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Rezervný fond,</w:t>
      </w:r>
    </w:p>
    <w:p w14:paraId="49883AF7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reprodukcie,</w:t>
      </w:r>
    </w:p>
    <w:p w14:paraId="0A4AE9E1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Štipendijný fond,</w:t>
      </w:r>
    </w:p>
    <w:p w14:paraId="76FB0F89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pre študentov so špecifickými potrebami,</w:t>
      </w:r>
    </w:p>
    <w:p w14:paraId="189000D2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darov a grantov,</w:t>
      </w:r>
    </w:p>
    <w:p w14:paraId="677C2A1D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Sociálny fond.</w:t>
      </w:r>
    </w:p>
    <w:p w14:paraId="216892B9" w14:textId="77777777" w:rsidR="0020798B" w:rsidRPr="00A42529" w:rsidRDefault="0020798B" w:rsidP="0020798B">
      <w:pPr>
        <w:pStyle w:val="Odsekzoznamu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43D1842C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Rezervný fond</w:t>
      </w:r>
    </w:p>
    <w:p w14:paraId="57C851F7" w14:textId="39626977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Pohyb na tomto fonde, a to čerpanie alebo tvorba, vznikol pri 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vysporiadaní výsledku hospodárenia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schvaľovacom konaní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 podľa dosiahnutého zisku</w:t>
      </w:r>
      <w:r w:rsidR="00F06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(straty)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jednotlivých súčastí univerzity.</w:t>
      </w:r>
    </w:p>
    <w:p w14:paraId="3AFD6399" w14:textId="77777777" w:rsidR="0020798B" w:rsidRPr="00A42529" w:rsidRDefault="0020798B" w:rsidP="0020798B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9D0529" w14:textId="77777777" w:rsidR="008B1BA9" w:rsidRDefault="008B1BA9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5E2A985" w14:textId="57E00141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Fond reprodukcie </w:t>
      </w:r>
    </w:p>
    <w:p w14:paraId="038E0AFE" w14:textId="00A502DC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Tento fond bol tvorený z odpisov majetku, obstaraného z nekapitálových dotácií a vlastných zdrojov . Ďalšia tvorba fondu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vznikla z rozdelenia zisku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6D203B">
        <w:rPr>
          <w:rFonts w:asciiTheme="minorHAnsi" w:hAnsiTheme="minorHAnsi" w:cstheme="minorHAnsi"/>
          <w:sz w:val="22"/>
          <w:szCs w:val="22"/>
        </w:rPr>
        <w:t>20</w:t>
      </w:r>
      <w:r w:rsidR="00093E3E">
        <w:rPr>
          <w:rFonts w:asciiTheme="minorHAnsi" w:hAnsiTheme="minorHAnsi" w:cstheme="minorHAnsi"/>
          <w:sz w:val="22"/>
          <w:szCs w:val="22"/>
        </w:rPr>
        <w:t> 485,21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 </w:t>
      </w:r>
    </w:p>
    <w:p w14:paraId="7B48642C" w14:textId="77777777" w:rsidR="0020798B" w:rsidRPr="00197B9E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337EB24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Štipendijný fond</w:t>
      </w:r>
    </w:p>
    <w:p w14:paraId="334480FF" w14:textId="0042AE79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Štipendijný fond univerzita tvorila a zároveň čerpala z dotácie v zmysle zákona č. 131/2002 o VŠ a vnútorného predpisu univerzity. Okrem toho univerzita tvorila štipendijný fond z vlastných zdrojov vo výške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44 981,46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Tieto nedotačné prostriedky boli použité na vyplatenie štipendií študentom fakúlt za dosiahnutie vynikajúceho výsledku v oblasti štúdia, vedy a výskumu, za športovú a umeleckú činnosť a na sociálnu podporu. Zostatok fondu  ku koncu roka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v sume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493 611,05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>Eur.</w:t>
      </w:r>
    </w:p>
    <w:p w14:paraId="661583F6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745F96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pre študentov so špecifickými potrebami</w:t>
      </w:r>
    </w:p>
    <w:p w14:paraId="2583FAED" w14:textId="1D44CC85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Fond pre študentov so špecifickými potrebami univerzita tvorila vo výške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36 390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 Eur. Finančné prostriedky boli použité vo výške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20 632,98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na </w:t>
      </w:r>
      <w:r w:rsidR="00425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nákup výpočtovej techniky,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hudobné nástroje, tlmočenie,</w:t>
      </w:r>
      <w:r w:rsidR="00425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79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86336C">
        <w:rPr>
          <w:rFonts w:asciiTheme="minorHAnsi" w:hAnsiTheme="minorHAnsi" w:cstheme="minorHAnsi"/>
          <w:color w:val="000000" w:themeColor="text1"/>
          <w:sz w:val="22"/>
          <w:szCs w:val="22"/>
        </w:rPr>
        <w:t>mzdy.</w:t>
      </w:r>
    </w:p>
    <w:p w14:paraId="533E0C1F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63D9AE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darov a grantov</w:t>
      </w:r>
    </w:p>
    <w:p w14:paraId="27A2A893" w14:textId="100B340F" w:rsidR="0020798B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fondu sa v porovnaní s rokom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z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výšil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 808,16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>Eur.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Príjmy z darov  použila Trnavská univerzita na krytie prevádzkových nákladov pre podujatia, na ktoré boli dary určené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cestovné,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prenájom priestorov a služby spojené s organizovaním konferencií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629EA5E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10DF42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Sociálny fond</w:t>
      </w:r>
    </w:p>
    <w:p w14:paraId="10E103C3" w14:textId="37C5F211" w:rsidR="00530754" w:rsidRDefault="0020798B" w:rsidP="008C365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Sociálny fond tvorila aj čerpala Trnavská univerzita podľa zákona č. 152/1994 o sociálnom fonde v znení neskorších predpisov a na základe Kolektívnej zmluvy. Výška zákonnej tvorby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predstavovala čiastku 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50 245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Sociálny fond bol čerpaný predovšetkým na stravu  zamestnancov vo výške </w:t>
      </w:r>
      <w:r w:rsidR="00393AC2">
        <w:rPr>
          <w:rFonts w:asciiTheme="minorHAnsi" w:hAnsiTheme="minorHAnsi" w:cstheme="minorHAnsi"/>
          <w:color w:val="000000" w:themeColor="text1"/>
          <w:sz w:val="22"/>
          <w:szCs w:val="22"/>
        </w:rPr>
        <w:t>35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 492,70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Eur,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regeneráciu zamestnancov vo </w:t>
      </w:r>
      <w:r w:rsidRPr="006B13AE">
        <w:rPr>
          <w:rFonts w:asciiTheme="minorHAnsi" w:hAnsiTheme="minorHAnsi" w:cstheme="minorHAnsi"/>
          <w:sz w:val="22"/>
          <w:szCs w:val="22"/>
        </w:rPr>
        <w:t xml:space="preserve">výške </w:t>
      </w:r>
      <w:r w:rsidR="00704846">
        <w:rPr>
          <w:rFonts w:asciiTheme="minorHAnsi" w:hAnsiTheme="minorHAnsi" w:cstheme="minorHAnsi"/>
          <w:sz w:val="22"/>
          <w:szCs w:val="22"/>
        </w:rPr>
        <w:t>2</w:t>
      </w:r>
      <w:r w:rsidR="00093E3E">
        <w:rPr>
          <w:rFonts w:asciiTheme="minorHAnsi" w:hAnsiTheme="minorHAnsi" w:cstheme="minorHAnsi"/>
          <w:sz w:val="22"/>
          <w:szCs w:val="22"/>
        </w:rPr>
        <w:t>6 929,76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dopravu zamestnancov vo výške 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7 530,15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na sociálnu výpomoc vo výške </w:t>
      </w:r>
      <w:r w:rsidR="007048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093E3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6B13AE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="0055193A">
        <w:rPr>
          <w:rFonts w:asciiTheme="minorHAnsi" w:hAnsiTheme="minorHAnsi" w:cstheme="minorHAnsi"/>
          <w:sz w:val="22"/>
          <w:szCs w:val="22"/>
        </w:rPr>
        <w:t>.</w:t>
      </w:r>
    </w:p>
    <w:p w14:paraId="1608BE05" w14:textId="77777777" w:rsidR="00654BBF" w:rsidRDefault="00654BBF" w:rsidP="008C365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3FE441DB" w14:textId="77777777" w:rsidR="002262EC" w:rsidRDefault="002262EC" w:rsidP="008C365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12838454" w14:textId="77777777" w:rsidR="008177EA" w:rsidRPr="008177EA" w:rsidRDefault="008177EA" w:rsidP="008177EA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8177EA">
        <w:rPr>
          <w:rFonts w:asciiTheme="minorHAnsi" w:hAnsiTheme="minorHAnsi" w:cstheme="minorHAnsi"/>
          <w:b/>
          <w:sz w:val="26"/>
          <w:szCs w:val="26"/>
        </w:rPr>
        <w:t>4. REKAPITULÁCIA  ZÚČTOVANIA SO  ŠTÁTNYM  ROZPOČTOM</w:t>
      </w:r>
    </w:p>
    <w:p w14:paraId="5A783CA4" w14:textId="77777777" w:rsidR="008177EA" w:rsidRPr="008177EA" w:rsidRDefault="008177EA" w:rsidP="008177EA">
      <w:pPr>
        <w:tabs>
          <w:tab w:val="left" w:pos="15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BB4D46" w14:textId="77777777" w:rsidR="008177EA" w:rsidRPr="008177EA" w:rsidRDefault="008177EA" w:rsidP="008177E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súlade s dotačnou zmluvou vykonala Trnavská univerzita zúčtovanie finančných vzťahov so štátnym rozpočtom za rok 2024. Hlavným zdrojom financovania univerzity v sledovanom roku boli dotácie zo štátneho rozpočtu poskytnuté Trnavskej univerzite prostredníctvom kapitoly </w:t>
      </w:r>
      <w:proofErr w:type="spellStart"/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>MŠVVaM</w:t>
      </w:r>
      <w:proofErr w:type="spellEnd"/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 SR. Univerzite boli v súlade s § 89 zákona o VŠ a na základe dotačnej zmluvy poskytnuté prostredníctvom programov tieto dotácie:</w:t>
      </w:r>
    </w:p>
    <w:p w14:paraId="19904D46" w14:textId="77777777" w:rsidR="008177EA" w:rsidRPr="008177EA" w:rsidRDefault="008177EA" w:rsidP="008177EA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dotácia na uskutočňovanie akreditovaných študijných programov a zabezpečenie prevádzky VŠ,</w:t>
      </w:r>
    </w:p>
    <w:p w14:paraId="4FF13DE9" w14:textId="77777777" w:rsidR="008177EA" w:rsidRPr="008177EA" w:rsidRDefault="008177EA" w:rsidP="008177EA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dotácia na výskumnú, vývojovú alebo umeleckú činnosť,</w:t>
      </w:r>
    </w:p>
    <w:p w14:paraId="74E0F86C" w14:textId="77777777" w:rsidR="008177EA" w:rsidRPr="008177EA" w:rsidRDefault="008177EA" w:rsidP="008177EA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dotácia na Národnú stratégiu vedy, výskumu a inovácií,</w:t>
      </w:r>
    </w:p>
    <w:p w14:paraId="75A72CD6" w14:textId="77777777" w:rsidR="008177EA" w:rsidRPr="008177EA" w:rsidRDefault="008177EA" w:rsidP="008177EA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dotácia na sociálnu podporu študentov,</w:t>
      </w:r>
    </w:p>
    <w:p w14:paraId="296FF346" w14:textId="77777777" w:rsidR="008177EA" w:rsidRPr="008177EA" w:rsidRDefault="008177EA" w:rsidP="008177EA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dotácia na kapitálové výdavky na havárie, rekonštrukcie a modernizácie, stavby VVŠ.</w:t>
      </w:r>
    </w:p>
    <w:p w14:paraId="46D47CB3" w14:textId="77777777" w:rsidR="008177EA" w:rsidRPr="008177EA" w:rsidRDefault="008177EA" w:rsidP="008177EA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základe „Zmluvy o poskytnutí dotácie zo štátneho rozpočtu prostredníctvom rozpočtu </w:t>
      </w:r>
      <w:proofErr w:type="spellStart"/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>MŠVVaM</w:t>
      </w:r>
      <w:proofErr w:type="spellEnd"/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 na rok 2024“ zo dňa 5.1.2024 (číslo 0005/2024) bola TU v Trnave poskytnutá dotácia v celkovom objeme 18 072 215 Eur v nasledovnej štruktúre:</w:t>
      </w:r>
    </w:p>
    <w:p w14:paraId="60C0C8AD" w14:textId="77777777" w:rsidR="008177EA" w:rsidRPr="008177EA" w:rsidRDefault="008177EA" w:rsidP="008177E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bežné výdavky          18 072 215 Eur,</w:t>
      </w:r>
    </w:p>
    <w:p w14:paraId="5EDF7308" w14:textId="1AF62FAD" w:rsidR="008177EA" w:rsidRPr="008177EA" w:rsidRDefault="008177EA" w:rsidP="008177E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 xml:space="preserve">kapitálové výdavky  </w:t>
      </w:r>
      <w:r w:rsidR="00AA64DB">
        <w:rPr>
          <w:rFonts w:asciiTheme="minorHAnsi" w:hAnsiTheme="minorHAnsi" w:cstheme="minorHAnsi"/>
          <w:color w:val="000000" w:themeColor="text1"/>
        </w:rPr>
        <w:tab/>
        <w:t xml:space="preserve">            </w:t>
      </w:r>
      <w:r w:rsidRPr="008177EA">
        <w:rPr>
          <w:rFonts w:asciiTheme="minorHAnsi" w:hAnsiTheme="minorHAnsi" w:cstheme="minorHAnsi"/>
          <w:color w:val="000000" w:themeColor="text1"/>
        </w:rPr>
        <w:t>0 Eur.</w:t>
      </w:r>
    </w:p>
    <w:p w14:paraId="3D4CE01C" w14:textId="77777777" w:rsidR="008177EA" w:rsidRPr="008177EA" w:rsidRDefault="008177EA" w:rsidP="008177EA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>Základná dotačná  zmluva bola upravená siedmimi dodatkami. Celkový upravený ročný objem dotácie poskytnutej univerzite k 31. 12. 2024 predstavoval čiastku 19 070 136 Eur v nasledovnej štruktúre:</w:t>
      </w:r>
    </w:p>
    <w:p w14:paraId="493E62B8" w14:textId="77777777" w:rsidR="008177EA" w:rsidRPr="008177EA" w:rsidRDefault="008177EA" w:rsidP="008177E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bežné výdavky          18 830 136 Eur,</w:t>
      </w:r>
    </w:p>
    <w:p w14:paraId="795E10CB" w14:textId="6BC28020" w:rsidR="008177EA" w:rsidRPr="008177EA" w:rsidRDefault="008177EA" w:rsidP="008177E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 xml:space="preserve">kapitálové výdavky  </w:t>
      </w:r>
      <w:r w:rsidR="007B7548">
        <w:rPr>
          <w:rFonts w:asciiTheme="minorHAnsi" w:hAnsiTheme="minorHAnsi" w:cstheme="minorHAnsi"/>
          <w:color w:val="000000" w:themeColor="text1"/>
        </w:rPr>
        <w:t xml:space="preserve">      </w:t>
      </w:r>
      <w:r w:rsidRPr="008177EA">
        <w:rPr>
          <w:rFonts w:asciiTheme="minorHAnsi" w:hAnsiTheme="minorHAnsi" w:cstheme="minorHAnsi"/>
          <w:color w:val="000000" w:themeColor="text1"/>
        </w:rPr>
        <w:t>240 000 Eur.</w:t>
      </w:r>
    </w:p>
    <w:p w14:paraId="28B747CA" w14:textId="77777777" w:rsidR="008177EA" w:rsidRPr="008177EA" w:rsidRDefault="008177EA" w:rsidP="008177EA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77EA">
        <w:rPr>
          <w:rFonts w:asciiTheme="minorHAnsi" w:hAnsiTheme="minorHAnsi" w:cstheme="minorHAnsi"/>
          <w:color w:val="000000" w:themeColor="text1"/>
          <w:sz w:val="22"/>
          <w:szCs w:val="22"/>
        </w:rPr>
        <w:t>Univerzita použije v nasledujúcom kalendárnom roku zostatok dotácií, ktorý vykázala k 31.12.2024 vo výške 3 973 408,02 Eur v tejto štruktúre:</w:t>
      </w:r>
    </w:p>
    <w:p w14:paraId="1A49D698" w14:textId="77777777" w:rsidR="008177EA" w:rsidRPr="008177EA" w:rsidRDefault="008177EA" w:rsidP="008177EA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BA4044" w14:textId="77777777" w:rsidR="008177EA" w:rsidRPr="008177EA" w:rsidRDefault="008177EA" w:rsidP="008177EA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nedočerpaná dotácia na uskutočňovanie akreditovaných študijných programov vo výške 2 345 187,52 Eur, ktorá zahŕňa predovšetkým mzdy, poistné, tovary a služby a ostatné peňažné plnenia z nákladov za december 2024 vyplatené v januári 2025 a zostatok finančných prostriedkov na účelových dotáciách,</w:t>
      </w:r>
    </w:p>
    <w:p w14:paraId="0D402947" w14:textId="77777777" w:rsidR="008177EA" w:rsidRPr="008177EA" w:rsidRDefault="008177EA" w:rsidP="008177EA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nedočerpaná dotácia na výskumnú, vývojovú a  umeleckú činnosť vo výške 607 364,99 Eur, ktorá zahŕňa mzdy, štipendiá doktorandov, tovary a služby a ostatné peňažné plnenia z nákladov za december 2024 vyplatené v januári 2025 a výdavky na pokračujúce projekty VEGA, KEGA a APVV,</w:t>
      </w:r>
    </w:p>
    <w:p w14:paraId="717C4196" w14:textId="77777777" w:rsidR="008177EA" w:rsidRPr="008177EA" w:rsidRDefault="008177EA" w:rsidP="008177EA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nedočerpaná dotácia na Národnú stratégiu vedy, výskumu a inovácií vo výške 79 999,- Eur predstavuje účelovú dotáciu rozvojového projektu poskytnutej koncom roku 2024 a jeho možnou realizáciou do 31.12.2025,</w:t>
      </w:r>
    </w:p>
    <w:p w14:paraId="46ED0B8E" w14:textId="77777777" w:rsidR="008177EA" w:rsidRPr="008177EA" w:rsidRDefault="008177EA" w:rsidP="008177EA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nedočerpaná dotácia na sociálnu podporu študentov vo výške 630 651,17 Eur, ktorá zahŕňa sociálne štipendiá, štipendiá pre talentovaných a znevýhodnených študentov a finančné prostriedky na podporu stravovania, športových a kultúrnych aktivít študentov,</w:t>
      </w:r>
    </w:p>
    <w:p w14:paraId="1FC1D227" w14:textId="65A8CE6F" w:rsidR="00453DFE" w:rsidRPr="008177EA" w:rsidRDefault="008177EA" w:rsidP="008177EA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8177EA">
        <w:rPr>
          <w:rFonts w:asciiTheme="minorHAnsi" w:hAnsiTheme="minorHAnsi" w:cstheme="minorHAnsi"/>
          <w:color w:val="000000" w:themeColor="text1"/>
        </w:rPr>
        <w:t>nedočerpaná dotácia na kapitálové výdavky na havárie, rekonštrukcie a modernizácie, stavby VVŠ vo výške 310 205,34 Eur predstavuje účelovú dotáciu na rekonštrukciu budov TU.</w:t>
      </w:r>
    </w:p>
    <w:p w14:paraId="4BEA54AF" w14:textId="77777777" w:rsidR="0084681D" w:rsidRDefault="0084681D" w:rsidP="003D7EC1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</w:p>
    <w:p w14:paraId="46E6CC2C" w14:textId="77777777" w:rsidR="00654BBF" w:rsidRDefault="00654BBF" w:rsidP="003D7EC1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</w:p>
    <w:p w14:paraId="49D6AA4F" w14:textId="77777777" w:rsidR="00453DFE" w:rsidRDefault="00453DFE" w:rsidP="00453DF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ZÁVER</w:t>
      </w:r>
    </w:p>
    <w:p w14:paraId="4B5073F6" w14:textId="77777777" w:rsidR="00453DFE" w:rsidRDefault="00453DFE" w:rsidP="00453DF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lang w:eastAsia="sk-SK"/>
        </w:rPr>
      </w:pPr>
    </w:p>
    <w:p w14:paraId="687D8758" w14:textId="6CCA883E" w:rsidR="00453DFE" w:rsidRDefault="00453DFE" w:rsidP="00453DFE">
      <w:pPr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Vyhodnotenie prijatých opatrení formulovaných vo „Výročnej správe o hospodárení TU v Trnave  k hospodárskemu roku 2023“</w:t>
      </w:r>
    </w:p>
    <w:p w14:paraId="32BE3926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F46184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DCA8F" w14:textId="77777777" w:rsidR="00453DFE" w:rsidRDefault="00453DFE" w:rsidP="00453DFE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1. Zabezpečiť dodržanie hospodárnosti, efektívnosti a účinnosti pri hospodárení s finančnými prostriedkami, ako aj pri iných činnostiach súvisiacich s poslaním a hlavnými úlohami univerzity v súlade so zákonom o rozpočtových pravidlách verejnej správy, so zákonom o finančnej kontrole a audite a v súlade so smernicou rektora č. 21/2021 na zabezpečenie základnej finančnej kontroly.</w:t>
      </w:r>
    </w:p>
    <w:p w14:paraId="0B60C657" w14:textId="77777777" w:rsidR="00453DFE" w:rsidRDefault="00453DFE" w:rsidP="00453DFE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1AA5AAC9" w14:textId="77777777" w:rsidR="00453DFE" w:rsidRDefault="00453DFE" w:rsidP="00453DFE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609596D1" w14:textId="77777777" w:rsidR="00453DFE" w:rsidRDefault="00453DFE" w:rsidP="00453DFE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65C7B9CC" w14:textId="45989BDB" w:rsidR="00453DFE" w:rsidRDefault="00453DFE" w:rsidP="00453DFE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0A9FE8CB" w14:textId="7C48E522" w:rsidR="00453DFE" w:rsidRPr="00453DFE" w:rsidRDefault="00453DFE" w:rsidP="00453DFE">
      <w:pPr>
        <w:spacing w:line="276" w:lineRule="auto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453DF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Opatrenie bolo splnené.</w:t>
      </w:r>
    </w:p>
    <w:p w14:paraId="3A2FBA33" w14:textId="77777777" w:rsidR="00453DFE" w:rsidRDefault="00453DFE" w:rsidP="00453DFE">
      <w:pPr>
        <w:pStyle w:val="Odsekzoznamu1"/>
        <w:spacing w:after="0"/>
        <w:ind w:left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14:paraId="5407105E" w14:textId="77777777" w:rsidR="00453DFE" w:rsidRDefault="00453DFE" w:rsidP="00453DF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2. Zabezpečiť rovnomernosť v čerpaní dovoleniek zamestnancov v súlade s platnými zákonnými normami tak, aby zostatok dovolenky, ktorú si zamestnanec prenáša do ďalšieho roka bol najviac 10 dní.</w:t>
      </w:r>
    </w:p>
    <w:p w14:paraId="2E0BB7D2" w14:textId="77777777" w:rsidR="00453DFE" w:rsidRDefault="00453DFE" w:rsidP="00453DFE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297CCAE" w14:textId="77777777" w:rsidR="00453DFE" w:rsidRDefault="00453DFE" w:rsidP="00453DFE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6493FD6F" w14:textId="22198A87" w:rsidR="00453DFE" w:rsidRDefault="00453DFE" w:rsidP="00453DFE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2024</w:t>
      </w:r>
    </w:p>
    <w:p w14:paraId="48E41E28" w14:textId="43258583" w:rsidR="00453DFE" w:rsidRPr="00453DFE" w:rsidRDefault="00453DFE" w:rsidP="00453DFE">
      <w:pPr>
        <w:spacing w:line="276" w:lineRule="auto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453DF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Opatrenie bolo splnené.</w:t>
      </w:r>
    </w:p>
    <w:p w14:paraId="1C6E7D71" w14:textId="77777777" w:rsidR="00453DFE" w:rsidRDefault="00453DFE" w:rsidP="00453DFE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55CF2407" w14:textId="77777777" w:rsidR="00453DFE" w:rsidRDefault="00453DFE" w:rsidP="00453DFE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6A6016E" w14:textId="77777777" w:rsidR="00453DFE" w:rsidRDefault="00453DFE" w:rsidP="00453DF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 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2991871E" w14:textId="77777777" w:rsidR="00453DFE" w:rsidRDefault="00453DFE" w:rsidP="00453DFE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F95F8A" w14:textId="77777777" w:rsidR="00453DFE" w:rsidRDefault="00453DFE" w:rsidP="00453DFE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4FD32293" w14:textId="0EAE191E" w:rsidR="00453DFE" w:rsidRDefault="00453DFE" w:rsidP="00453DFE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>Termín: priebežne</w:t>
      </w:r>
    </w:p>
    <w:p w14:paraId="480646D9" w14:textId="3EABDBDC" w:rsidR="00453DFE" w:rsidRPr="00453DFE" w:rsidRDefault="00453DFE" w:rsidP="00453DFE">
      <w:pPr>
        <w:spacing w:line="276" w:lineRule="auto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453DF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Opatrenie bolo splnené.</w:t>
      </w:r>
    </w:p>
    <w:p w14:paraId="71E23B63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0D4AF1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6225DA" w14:textId="77777777" w:rsidR="00DC1E7E" w:rsidRDefault="00DC1E7E" w:rsidP="00DC1E7E">
      <w:pPr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Opatrenia prijaté  k hospodárskemu roku 2024</w:t>
      </w:r>
    </w:p>
    <w:p w14:paraId="6D52EE64" w14:textId="77777777" w:rsidR="00DC1E7E" w:rsidRDefault="00DC1E7E" w:rsidP="00DC1E7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905623" w14:textId="77777777" w:rsidR="00DC1E7E" w:rsidRDefault="00DC1E7E" w:rsidP="00DC1E7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452E18" w14:textId="77777777" w:rsidR="00DC1E7E" w:rsidRDefault="00DC1E7E" w:rsidP="00DC1E7E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1. Zabezpečiť dodržanie hospodárnosti, efektívnosti a účinnosti pri hospodárení s finančnými prostriedkami, ako aj pri iných činnostiach súvisiacich s poslaním a hlavnými úlohami univerzity v súlade so zákonom o rozpočtových pravidlách verejnej správy, so zákonom o finančnej kontrole a audite a v súlade so smernicou rektora č. 21/2021 na zabezpečenie základnej finančnej kontroly.</w:t>
      </w:r>
    </w:p>
    <w:p w14:paraId="2E061D18" w14:textId="77777777" w:rsidR="00DC1E7E" w:rsidRDefault="00DC1E7E" w:rsidP="00DC1E7E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3B96FB69" w14:textId="77777777" w:rsidR="00DC1E7E" w:rsidRDefault="00DC1E7E" w:rsidP="00DC1E7E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2A37AEE2" w14:textId="77777777" w:rsidR="00DC1E7E" w:rsidRDefault="00DC1E7E" w:rsidP="00DC1E7E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353CCF5F" w14:textId="77777777" w:rsidR="00DC1E7E" w:rsidRPr="00E53EFB" w:rsidRDefault="00DC1E7E" w:rsidP="00DC1E7E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78EC3CFC" w14:textId="77777777" w:rsidR="00DC1E7E" w:rsidRDefault="00DC1E7E" w:rsidP="00DC1E7E">
      <w:pPr>
        <w:pStyle w:val="Odsekzoznamu1"/>
        <w:spacing w:after="0"/>
        <w:ind w:left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14:paraId="19EC88B5" w14:textId="77777777" w:rsidR="00DC1E7E" w:rsidRDefault="00DC1E7E" w:rsidP="00DC1E7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2. Zabezpečiť rovnomernosť v čerpaní dovoleniek zamestnancov v súlade s platnými zákonnými normami tak, aby zostatok dovolenky, ktorú si zamestnanec prenáša do ďalšieho roka bol najviac 10 dní.</w:t>
      </w:r>
    </w:p>
    <w:p w14:paraId="224556A8" w14:textId="77777777" w:rsidR="00DC1E7E" w:rsidRDefault="00DC1E7E" w:rsidP="00DC1E7E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91A28C5" w14:textId="77777777" w:rsidR="00DC1E7E" w:rsidRDefault="00DC1E7E" w:rsidP="00DC1E7E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5B9B012E" w14:textId="77777777" w:rsidR="00DC1E7E" w:rsidRPr="00E53EFB" w:rsidRDefault="00DC1E7E" w:rsidP="00DC1E7E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2025</w:t>
      </w:r>
    </w:p>
    <w:p w14:paraId="648925F7" w14:textId="77777777" w:rsidR="00DC1E7E" w:rsidRDefault="00DC1E7E" w:rsidP="00DC1E7E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7C824FEA" w14:textId="77777777" w:rsidR="00DC1E7E" w:rsidRDefault="00DC1E7E" w:rsidP="00DC1E7E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E40C662" w14:textId="77777777" w:rsidR="00DC1E7E" w:rsidRDefault="00DC1E7E" w:rsidP="00DC1E7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 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0607798B" w14:textId="77777777" w:rsidR="00DC1E7E" w:rsidRDefault="00DC1E7E" w:rsidP="00DC1E7E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CE7819" w14:textId="77777777" w:rsidR="00DC1E7E" w:rsidRDefault="00DC1E7E" w:rsidP="00DC1E7E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76E25688" w14:textId="77777777" w:rsidR="00DC1E7E" w:rsidRDefault="00DC1E7E" w:rsidP="00DC1E7E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>Termín: priebežne</w:t>
      </w:r>
    </w:p>
    <w:p w14:paraId="0C00AA57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937438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DE4D0F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3EDB38" w14:textId="77777777" w:rsidR="00453DFE" w:rsidRDefault="00453DFE" w:rsidP="00453DFE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CB19C" w14:textId="77777777" w:rsidR="00453DFE" w:rsidRDefault="00453DFE" w:rsidP="00453DFE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 xml:space="preserve">         prof. </w:t>
      </w:r>
      <w:proofErr w:type="spellStart"/>
      <w:r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ThLic</w:t>
      </w:r>
      <w:proofErr w:type="spellEnd"/>
      <w:r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 xml:space="preserve">. Miloš Lichner, </w:t>
      </w:r>
      <w:proofErr w:type="spellStart"/>
      <w:r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D.Th</w:t>
      </w:r>
      <w:proofErr w:type="spellEnd"/>
      <w:r>
        <w:rPr>
          <w:rStyle w:val="Vrazn"/>
          <w:rFonts w:asciiTheme="minorHAnsi" w:hAnsiTheme="minorHAnsi" w:cstheme="minorHAnsi"/>
          <w:color w:val="000000" w:themeColor="text1"/>
          <w:sz w:val="22"/>
          <w:szCs w:val="22"/>
        </w:rPr>
        <w:t>., SJ                                     Ing. Daniela Naništová</w:t>
      </w:r>
    </w:p>
    <w:p w14:paraId="24E68558" w14:textId="703F14FF" w:rsidR="00453DFE" w:rsidRDefault="00453DFE" w:rsidP="00453DFE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1734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rektor</w:t>
      </w:r>
      <w:r w:rsidR="001D2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Trnavskej univerzity v Trnave</w:t>
      </w:r>
      <w:r w:rsidR="001D2F2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kvestorka Trnavskej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univrerzity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Trnave</w:t>
      </w:r>
    </w:p>
    <w:p w14:paraId="3A963904" w14:textId="29CB10CE" w:rsidR="00453DFE" w:rsidRDefault="00453DFE" w:rsidP="00453DFE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30162333" w14:textId="77777777" w:rsidR="00453DFE" w:rsidRDefault="00453DFE" w:rsidP="00453DFE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2B3336" w14:textId="77777777" w:rsidR="00D24004" w:rsidRPr="0050023C" w:rsidRDefault="00D24004" w:rsidP="00D24004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24004" w:rsidRPr="0050023C" w:rsidSect="005525D7">
      <w:headerReference w:type="default" r:id="rId11"/>
      <w:footerReference w:type="even" r:id="rId12"/>
      <w:footerReference w:type="default" r:id="rId13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0098" w14:textId="77777777" w:rsidR="00E417F1" w:rsidRDefault="00E417F1">
      <w:r>
        <w:separator/>
      </w:r>
    </w:p>
  </w:endnote>
  <w:endnote w:type="continuationSeparator" w:id="0">
    <w:p w14:paraId="53869657" w14:textId="77777777" w:rsidR="00E417F1" w:rsidRDefault="00E4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24F0" w14:textId="77777777" w:rsidR="005F7F8E" w:rsidRDefault="005F7F8E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01D226" w14:textId="77777777" w:rsidR="005F7F8E" w:rsidRDefault="005F7F8E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4DED" w14:textId="77777777" w:rsidR="005F7F8E" w:rsidRDefault="005F7F8E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25</w:t>
    </w:r>
    <w:r>
      <w:rPr>
        <w:rStyle w:val="slostrany"/>
      </w:rPr>
      <w:fldChar w:fldCharType="end"/>
    </w:r>
  </w:p>
  <w:p w14:paraId="59CA39A3" w14:textId="3D1CCFD6" w:rsidR="005F7F8E" w:rsidRPr="00565C59" w:rsidRDefault="005F7F8E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37094A" wp14:editId="6B6C4228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2DC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lVygEAAIcDAAAOAAAAZHJzL2Uyb0RvYy54bWysU8Fu2zAMvQ/YPwi6L06KpViNOMWQrrt0&#10;W4B2H8BIsi1MFgVKiZO/H6XE2dbdhvkgiCL5SL5Hr+6PgxMHQ9Gib+RiNpfCeIXa+q6R318e332Q&#10;IibwGhx608iTifJ+/fbNagy1ucEenTYkGMTHegyN7FMKdVVF1ZsB4gyD8exskQZIbFJXaYKR0QdX&#10;3cznt9WIpAOhMjHy68PZKdcFv22NSt/aNpokXCO5t1ROKucun9V6BXVHEHqrLm3AP3QxgPVc9Ar1&#10;AAnEnuxfUINVhBHbNFM4VNi2VpkyA0+zmL+a5rmHYMosTE4MV5ri/4NVXw9bElazdlJ4GFiij/uE&#10;pbJ4n+kZQ6w5auO3lAdUR/8cnlD9iMLjpgffmRL8cgqcu8gZ1R8p2YiBi+zGL6g5Bhi/cHVsaciQ&#10;zII4FklOV0nMMQnFj8vbu+XdkpVTk6+CekoMFNNng4PIl0bGRGC7Pm3QexYeaVHKwOEpptwW1FNC&#10;rurx0TpX9HdejLlyfo7orM6eYlC32zgSB8jrU74y4Kswwr3XBak3oD9d7gmsO9+5svMZz5SNvLQz&#10;EXOmeIf6tKWJPVa7NHzZzLxOv9uF41//z/onAAAA//8DAFBLAwQUAAYACAAAACEAgfZlw9sAAAAJ&#10;AQAADwAAAGRycy9kb3ducmV2LnhtbEyPT0vDQBDF74LfYRnBW7vpilpjNqUIiqAXo+h1mh2T0P0T&#10;drdp/PaOIOhx3nv85r1qMzsrJoppCF7DalmAIN8GM/hOw9vr/WINImX0Bm3wpOGLEmzq05MKSxOO&#10;/oWmJneCIT6VqKHPeSylTG1PDtMyjOTZ+wzRYeYzdtJEPDLcWamK4ko6HDx/6HGku57afXNwTGk/&#10;FI6PzWT22wdrny6u1+/PUevzs3l7CyLTnP/C8FOfq0PNnXbh4E0SVsOl4qCGhVIrEOzfFIqV3a8i&#10;60r+X1B/AwAA//8DAFBLAQItABQABgAIAAAAIQC2gziS/gAAAOEBAAATAAAAAAAAAAAAAAAAAAAA&#10;AABbQ29udGVudF9UeXBlc10ueG1sUEsBAi0AFAAGAAgAAAAhADj9If/WAAAAlAEAAAsAAAAAAAAA&#10;AAAAAAAALwEAAF9yZWxzLy5yZWxzUEsBAi0AFAAGAAgAAAAhAOpI6VXKAQAAhwMAAA4AAAAAAAAA&#10;AAAAAAAALgIAAGRycy9lMm9Eb2MueG1sUEsBAi0AFAAGAAgAAAAhAIH2ZcPbAAAACQEAAA8AAAAA&#10;AAAAAAAAAAAAJAQAAGRycy9kb3ducmV2LnhtbFBLBQYAAAAABAAEAPMAAAAsBQAAAAA=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 xml:space="preserve">Výročná správa o hospodárení </w:t>
    </w:r>
    <w:r>
      <w:rPr>
        <w:rFonts w:ascii="Calibri" w:hAnsi="Calibri"/>
        <w:i/>
        <w:sz w:val="18"/>
        <w:szCs w:val="18"/>
      </w:rPr>
      <w:t xml:space="preserve">Trnavskej univerzity v Trnave </w:t>
    </w:r>
    <w:r w:rsidRPr="00565C59">
      <w:rPr>
        <w:rFonts w:ascii="Calibri" w:hAnsi="Calibri"/>
        <w:i/>
        <w:sz w:val="18"/>
        <w:szCs w:val="18"/>
      </w:rPr>
      <w:t>za rok 20</w:t>
    </w:r>
    <w:r>
      <w:rPr>
        <w:rFonts w:ascii="Calibri" w:hAnsi="Calibri"/>
        <w:i/>
        <w:sz w:val="18"/>
        <w:szCs w:val="18"/>
      </w:rPr>
      <w:t>2</w:t>
    </w:r>
    <w:r w:rsidR="008C3659">
      <w:rPr>
        <w:rFonts w:ascii="Calibri" w:hAnsi="Calibri"/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8FF8" w14:textId="77777777" w:rsidR="00E417F1" w:rsidRDefault="00E417F1">
      <w:r>
        <w:separator/>
      </w:r>
    </w:p>
  </w:footnote>
  <w:footnote w:type="continuationSeparator" w:id="0">
    <w:p w14:paraId="7FD12CFB" w14:textId="77777777" w:rsidR="00E417F1" w:rsidRDefault="00E4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05C2" w14:textId="49A3D988" w:rsidR="005F7F8E" w:rsidRPr="00565C59" w:rsidRDefault="00E417F1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1440" w:dyaOrig="1440" w14:anchorId="094DE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.85pt;margin-top:-22.7pt;width:62pt;height:58.5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808894343" r:id="rId2"/>
      </w:object>
    </w:r>
    <w:r w:rsidR="009A5924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D6E75D" wp14:editId="075F095E">
              <wp:simplePos x="0" y="0"/>
              <wp:positionH relativeFrom="margin">
                <wp:align>left</wp:align>
              </wp:positionH>
              <wp:positionV relativeFrom="paragraph">
                <wp:posOffset>481330</wp:posOffset>
              </wp:positionV>
              <wp:extent cx="57988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94C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9pt;width:456.6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iRywEAAIcDAAAOAAAAZHJzL2Uyb0RvYy54bWysU01v2zAMvQ/YfxB0X5xk2JYZcYohXXfp&#10;tgDtfgAjybYwWRQoJU7+/Sjlo1t3K+qDIIrkI/kevbw5DE7sDUWLvpGzyVQK4xVq67tG/nq8e7eQ&#10;IibwGhx608ijifJm9fbNcgy1mWOPThsSDOJjPYZG9imFuqqi6s0AcYLBeHa2SAMkNqmrNMHI6IOr&#10;5tPpx2pE0oFQmRj59fbklKuC37ZGpZ9tG00SrpHcWyonlXObz2q1hLojCL1V5zbgBV0MYD0XvULd&#10;QgKxI/sf1GAVYcQ2TRQOFbatVabMwNPMps+meeghmDILkxPDlab4erDqx35DwupGzqXwMLBEX3YJ&#10;S2XxPtMzhlhz1NpvKA+oDv4h3KP6HYXHdQ++MyX48Rg4d5Yzqn9SshEDF9mO31FzDDB+4erQ0pAh&#10;mQVxKJIcr5KYQxKKHz98+rxYzFk5dfFVUF8SA8X0zeAg8qWRMRHYrk9r9J6FR5qVMrC/jym3BfUl&#10;IVf1eGedK/o7L8ZcOT9HdFZnTzGo264diT3k9SlfGfBZGOHO64LUG9Bfz/cE1p3uXNn5jGfKRp7b&#10;uRBzoniL+rihC3usdmn4vJl5nf62C8dP/8/qDwAAAP//AwBQSwMEFAAGAAgAAAAhAHbdQh3aAAAA&#10;BgEAAA8AAABkcnMvZG93bnJldi54bWxMj01Lw0AQhu+C/2EZwZvdNEXbxmxKERRBL41ir9PsmITu&#10;R9jdpvHfO+JBjzPvyzPPlJvJGjFSiL13CuazDAS5xuvetQre3x5vViBiQqfReEcKvijCprq8KLHQ&#10;/ux2NNapFQxxsUAFXUpDIWVsOrIYZ34gx9mnDxYTj6GVOuCZ4dbIPMvupMXe8YUOB3roqDnWJ8uU&#10;Zp/j8FyP+rh9MuZlsVx9vAalrq+m7T2IRFP6K8OPPqtDxU4Hf3I6CqOAH0kKlrfsz+l6vshBHH4X&#10;sirlf/3qGwAA//8DAFBLAQItABQABgAIAAAAIQC2gziS/gAAAOEBAAATAAAAAAAAAAAAAAAAAAAA&#10;AABbQ29udGVudF9UeXBlc10ueG1sUEsBAi0AFAAGAAgAAAAhADj9If/WAAAAlAEAAAsAAAAAAAAA&#10;AAAAAAAALwEAAF9yZWxzLy5yZWxzUEsBAi0AFAAGAAgAAAAhAC8oyJHLAQAAhwMAAA4AAAAAAAAA&#10;AAAAAAAALgIAAGRycy9lMm9Eb2MueG1sUEsBAi0AFAAGAAgAAAAhAHbdQh3aAAAABgEAAA8AAAAA&#10;AAAAAAAAAAAAJQQAAGRycy9kb3ducmV2LnhtbFBLBQYAAAAABAAEAPMAAAAsBQAAAAA=&#10;" strokeweight="0">
              <w10:wrap anchorx="margin"/>
            </v:shape>
          </w:pict>
        </mc:Fallback>
      </mc:AlternateContent>
    </w:r>
    <w:r w:rsidR="005F7F8E" w:rsidRPr="002950C7">
      <w:rPr>
        <w:color w:val="FF0000"/>
        <w:sz w:val="24"/>
        <w:szCs w:val="24"/>
      </w:rPr>
      <w:t xml:space="preserve">    </w:t>
    </w:r>
    <w:r w:rsidR="005F7F8E" w:rsidRPr="002950C7">
      <w:rPr>
        <w:i/>
        <w:color w:val="FF0000"/>
        <w:sz w:val="24"/>
        <w:szCs w:val="24"/>
      </w:rPr>
      <w:t xml:space="preserve">    </w:t>
    </w:r>
    <w:r w:rsidR="005F7F8E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330"/>
    <w:multiLevelType w:val="multilevel"/>
    <w:tmpl w:val="EFAE7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22E0C"/>
    <w:multiLevelType w:val="hybridMultilevel"/>
    <w:tmpl w:val="E01AE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322"/>
    <w:multiLevelType w:val="hybridMultilevel"/>
    <w:tmpl w:val="704CACAA"/>
    <w:lvl w:ilvl="0" w:tplc="474458F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26D7"/>
    <w:multiLevelType w:val="hybridMultilevel"/>
    <w:tmpl w:val="89B8F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0159"/>
    <w:multiLevelType w:val="hybridMultilevel"/>
    <w:tmpl w:val="DB0E5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9630B"/>
    <w:multiLevelType w:val="hybridMultilevel"/>
    <w:tmpl w:val="B87E5202"/>
    <w:lvl w:ilvl="0" w:tplc="AB509F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3CC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901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FE5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2A1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FC73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0069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0AC3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54B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EB7DA6"/>
    <w:multiLevelType w:val="hybridMultilevel"/>
    <w:tmpl w:val="0A72F676"/>
    <w:lvl w:ilvl="0" w:tplc="F59C2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052895"/>
    <w:multiLevelType w:val="hybridMultilevel"/>
    <w:tmpl w:val="B170C20A"/>
    <w:lvl w:ilvl="0" w:tplc="C7A49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5055"/>
    <w:multiLevelType w:val="hybridMultilevel"/>
    <w:tmpl w:val="055CE0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82C0A"/>
    <w:multiLevelType w:val="hybridMultilevel"/>
    <w:tmpl w:val="8D14DB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E1DA3"/>
    <w:multiLevelType w:val="hybridMultilevel"/>
    <w:tmpl w:val="7D5E1964"/>
    <w:lvl w:ilvl="0" w:tplc="7480EB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50EE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8683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922D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B23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A05C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448D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28C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FAF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3244E5"/>
    <w:multiLevelType w:val="hybridMultilevel"/>
    <w:tmpl w:val="8E64182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E3A12CD"/>
    <w:multiLevelType w:val="hybridMultilevel"/>
    <w:tmpl w:val="F3C4487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FB4354"/>
    <w:multiLevelType w:val="hybridMultilevel"/>
    <w:tmpl w:val="76287022"/>
    <w:lvl w:ilvl="0" w:tplc="E7D0AF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75672"/>
    <w:multiLevelType w:val="hybridMultilevel"/>
    <w:tmpl w:val="35427394"/>
    <w:lvl w:ilvl="0" w:tplc="4E0CB67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B16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42EF4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1E1BC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52D9FC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E674F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F0B0F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A29A4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50535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90685D"/>
    <w:multiLevelType w:val="hybridMultilevel"/>
    <w:tmpl w:val="BD76F422"/>
    <w:lvl w:ilvl="0" w:tplc="FDF4FE6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20"/>
  </w:num>
  <w:num w:numId="12">
    <w:abstractNumId w:val="15"/>
  </w:num>
  <w:num w:numId="13">
    <w:abstractNumId w:val="8"/>
  </w:num>
  <w:num w:numId="14">
    <w:abstractNumId w:val="21"/>
  </w:num>
  <w:num w:numId="15">
    <w:abstractNumId w:val="1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4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8"/>
    <w:rsid w:val="000001FF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180"/>
    <w:rsid w:val="000035B4"/>
    <w:rsid w:val="000036E5"/>
    <w:rsid w:val="000039C9"/>
    <w:rsid w:val="00003A20"/>
    <w:rsid w:val="00003C85"/>
    <w:rsid w:val="00003F20"/>
    <w:rsid w:val="0000401E"/>
    <w:rsid w:val="00004B2C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092B"/>
    <w:rsid w:val="000127FF"/>
    <w:rsid w:val="00013382"/>
    <w:rsid w:val="00013DC0"/>
    <w:rsid w:val="00014FF8"/>
    <w:rsid w:val="00015040"/>
    <w:rsid w:val="0001567C"/>
    <w:rsid w:val="0001578C"/>
    <w:rsid w:val="00015AA9"/>
    <w:rsid w:val="00015AE0"/>
    <w:rsid w:val="000162C5"/>
    <w:rsid w:val="000169DD"/>
    <w:rsid w:val="0001710C"/>
    <w:rsid w:val="00017171"/>
    <w:rsid w:val="00017A04"/>
    <w:rsid w:val="00017CB3"/>
    <w:rsid w:val="00017D63"/>
    <w:rsid w:val="00017F1D"/>
    <w:rsid w:val="0002019D"/>
    <w:rsid w:val="000208A8"/>
    <w:rsid w:val="000216EC"/>
    <w:rsid w:val="0002171B"/>
    <w:rsid w:val="0002182E"/>
    <w:rsid w:val="0002183F"/>
    <w:rsid w:val="0002188C"/>
    <w:rsid w:val="00021AE5"/>
    <w:rsid w:val="00022315"/>
    <w:rsid w:val="00022704"/>
    <w:rsid w:val="00023039"/>
    <w:rsid w:val="0002362C"/>
    <w:rsid w:val="00023761"/>
    <w:rsid w:val="000237CF"/>
    <w:rsid w:val="00023EF0"/>
    <w:rsid w:val="00023F7F"/>
    <w:rsid w:val="00024ADE"/>
    <w:rsid w:val="00024B96"/>
    <w:rsid w:val="00024DF7"/>
    <w:rsid w:val="00024FA6"/>
    <w:rsid w:val="00025517"/>
    <w:rsid w:val="0002579F"/>
    <w:rsid w:val="00025EA6"/>
    <w:rsid w:val="00025F13"/>
    <w:rsid w:val="000260A2"/>
    <w:rsid w:val="00027368"/>
    <w:rsid w:val="000278C5"/>
    <w:rsid w:val="00027C96"/>
    <w:rsid w:val="00027D13"/>
    <w:rsid w:val="00027FBD"/>
    <w:rsid w:val="000306E8"/>
    <w:rsid w:val="000311EC"/>
    <w:rsid w:val="000312E5"/>
    <w:rsid w:val="00031891"/>
    <w:rsid w:val="00031C2F"/>
    <w:rsid w:val="00031D57"/>
    <w:rsid w:val="00032194"/>
    <w:rsid w:val="00032226"/>
    <w:rsid w:val="0003276D"/>
    <w:rsid w:val="00032D44"/>
    <w:rsid w:val="00032DFE"/>
    <w:rsid w:val="00033688"/>
    <w:rsid w:val="000345D2"/>
    <w:rsid w:val="00034D25"/>
    <w:rsid w:val="000354B0"/>
    <w:rsid w:val="0003605F"/>
    <w:rsid w:val="000363EC"/>
    <w:rsid w:val="0003640D"/>
    <w:rsid w:val="00036B73"/>
    <w:rsid w:val="00036B79"/>
    <w:rsid w:val="00036EFE"/>
    <w:rsid w:val="00037001"/>
    <w:rsid w:val="000371C9"/>
    <w:rsid w:val="000374A1"/>
    <w:rsid w:val="000376C8"/>
    <w:rsid w:val="00037CF0"/>
    <w:rsid w:val="0004003D"/>
    <w:rsid w:val="0004007A"/>
    <w:rsid w:val="000405E3"/>
    <w:rsid w:val="00040ABC"/>
    <w:rsid w:val="00040AE2"/>
    <w:rsid w:val="00040CC0"/>
    <w:rsid w:val="0004150B"/>
    <w:rsid w:val="000415A2"/>
    <w:rsid w:val="000416A1"/>
    <w:rsid w:val="000417BA"/>
    <w:rsid w:val="000417D9"/>
    <w:rsid w:val="0004192D"/>
    <w:rsid w:val="00042413"/>
    <w:rsid w:val="00042ED5"/>
    <w:rsid w:val="000434B8"/>
    <w:rsid w:val="00043663"/>
    <w:rsid w:val="00043D42"/>
    <w:rsid w:val="00043E3E"/>
    <w:rsid w:val="00043E6C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B40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206"/>
    <w:rsid w:val="000516B4"/>
    <w:rsid w:val="00051799"/>
    <w:rsid w:val="00051F20"/>
    <w:rsid w:val="00051FE5"/>
    <w:rsid w:val="00052138"/>
    <w:rsid w:val="000521A9"/>
    <w:rsid w:val="00052205"/>
    <w:rsid w:val="0005239A"/>
    <w:rsid w:val="00052954"/>
    <w:rsid w:val="00052FC3"/>
    <w:rsid w:val="000551EA"/>
    <w:rsid w:val="000557D8"/>
    <w:rsid w:val="00055B12"/>
    <w:rsid w:val="00055C9B"/>
    <w:rsid w:val="00055E8B"/>
    <w:rsid w:val="00055EC0"/>
    <w:rsid w:val="00056D79"/>
    <w:rsid w:val="000571A1"/>
    <w:rsid w:val="00057331"/>
    <w:rsid w:val="00057857"/>
    <w:rsid w:val="000579AE"/>
    <w:rsid w:val="00057D7A"/>
    <w:rsid w:val="00057EC9"/>
    <w:rsid w:val="000600C3"/>
    <w:rsid w:val="000602FF"/>
    <w:rsid w:val="00060452"/>
    <w:rsid w:val="00060881"/>
    <w:rsid w:val="000609A7"/>
    <w:rsid w:val="00060FED"/>
    <w:rsid w:val="000614BB"/>
    <w:rsid w:val="000615F5"/>
    <w:rsid w:val="000624E4"/>
    <w:rsid w:val="00062836"/>
    <w:rsid w:val="00062DDD"/>
    <w:rsid w:val="000631F1"/>
    <w:rsid w:val="0006339A"/>
    <w:rsid w:val="000634E8"/>
    <w:rsid w:val="00063743"/>
    <w:rsid w:val="00063786"/>
    <w:rsid w:val="00063811"/>
    <w:rsid w:val="00063926"/>
    <w:rsid w:val="000639F2"/>
    <w:rsid w:val="00063C46"/>
    <w:rsid w:val="00064393"/>
    <w:rsid w:val="00064B25"/>
    <w:rsid w:val="00064B4E"/>
    <w:rsid w:val="00064C42"/>
    <w:rsid w:val="00065B67"/>
    <w:rsid w:val="00066CE5"/>
    <w:rsid w:val="00066EAC"/>
    <w:rsid w:val="00070891"/>
    <w:rsid w:val="00070A2F"/>
    <w:rsid w:val="0007131D"/>
    <w:rsid w:val="00071B25"/>
    <w:rsid w:val="0007214F"/>
    <w:rsid w:val="0007277A"/>
    <w:rsid w:val="00073B04"/>
    <w:rsid w:val="00073C95"/>
    <w:rsid w:val="00073D95"/>
    <w:rsid w:val="0007425F"/>
    <w:rsid w:val="00074DF8"/>
    <w:rsid w:val="00074DFA"/>
    <w:rsid w:val="00075023"/>
    <w:rsid w:val="00075185"/>
    <w:rsid w:val="000759A9"/>
    <w:rsid w:val="00075AD9"/>
    <w:rsid w:val="00075D17"/>
    <w:rsid w:val="00075DF4"/>
    <w:rsid w:val="000761C3"/>
    <w:rsid w:val="000766BF"/>
    <w:rsid w:val="0007690E"/>
    <w:rsid w:val="00076F2C"/>
    <w:rsid w:val="00076F7C"/>
    <w:rsid w:val="00076F8E"/>
    <w:rsid w:val="000777F6"/>
    <w:rsid w:val="00077BD1"/>
    <w:rsid w:val="00080220"/>
    <w:rsid w:val="0008036A"/>
    <w:rsid w:val="000806EB"/>
    <w:rsid w:val="00080D3C"/>
    <w:rsid w:val="00081200"/>
    <w:rsid w:val="00081DF8"/>
    <w:rsid w:val="00081EF5"/>
    <w:rsid w:val="00082274"/>
    <w:rsid w:val="00082888"/>
    <w:rsid w:val="0008312E"/>
    <w:rsid w:val="0008314C"/>
    <w:rsid w:val="0008338A"/>
    <w:rsid w:val="000833BE"/>
    <w:rsid w:val="0008350F"/>
    <w:rsid w:val="0008356A"/>
    <w:rsid w:val="000838B3"/>
    <w:rsid w:val="00083D1D"/>
    <w:rsid w:val="00084508"/>
    <w:rsid w:val="00084809"/>
    <w:rsid w:val="00085620"/>
    <w:rsid w:val="00085ACB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2E54"/>
    <w:rsid w:val="0009311F"/>
    <w:rsid w:val="000936DB"/>
    <w:rsid w:val="00093870"/>
    <w:rsid w:val="00093E3E"/>
    <w:rsid w:val="00094BA5"/>
    <w:rsid w:val="00096AB4"/>
    <w:rsid w:val="00096D4A"/>
    <w:rsid w:val="00097255"/>
    <w:rsid w:val="00097319"/>
    <w:rsid w:val="0009745C"/>
    <w:rsid w:val="0009756B"/>
    <w:rsid w:val="00097905"/>
    <w:rsid w:val="000A06F7"/>
    <w:rsid w:val="000A1354"/>
    <w:rsid w:val="000A195A"/>
    <w:rsid w:val="000A1CC7"/>
    <w:rsid w:val="000A1E82"/>
    <w:rsid w:val="000A2ED2"/>
    <w:rsid w:val="000A31A2"/>
    <w:rsid w:val="000A3D11"/>
    <w:rsid w:val="000A3DBA"/>
    <w:rsid w:val="000A418D"/>
    <w:rsid w:val="000A422F"/>
    <w:rsid w:val="000A47EB"/>
    <w:rsid w:val="000A4889"/>
    <w:rsid w:val="000A4DC0"/>
    <w:rsid w:val="000A637D"/>
    <w:rsid w:val="000A6948"/>
    <w:rsid w:val="000A6D7B"/>
    <w:rsid w:val="000A730C"/>
    <w:rsid w:val="000A7B0D"/>
    <w:rsid w:val="000A7C73"/>
    <w:rsid w:val="000B01FB"/>
    <w:rsid w:val="000B0673"/>
    <w:rsid w:val="000B096E"/>
    <w:rsid w:val="000B0B24"/>
    <w:rsid w:val="000B11E2"/>
    <w:rsid w:val="000B1359"/>
    <w:rsid w:val="000B21DB"/>
    <w:rsid w:val="000B2DDA"/>
    <w:rsid w:val="000B3139"/>
    <w:rsid w:val="000B35AD"/>
    <w:rsid w:val="000B3D7E"/>
    <w:rsid w:val="000B3E35"/>
    <w:rsid w:val="000B3FBA"/>
    <w:rsid w:val="000B46E5"/>
    <w:rsid w:val="000B4705"/>
    <w:rsid w:val="000B4F05"/>
    <w:rsid w:val="000B525F"/>
    <w:rsid w:val="000B5C2D"/>
    <w:rsid w:val="000B6045"/>
    <w:rsid w:val="000B632A"/>
    <w:rsid w:val="000B6A88"/>
    <w:rsid w:val="000B6C2C"/>
    <w:rsid w:val="000B7133"/>
    <w:rsid w:val="000B7F93"/>
    <w:rsid w:val="000C085F"/>
    <w:rsid w:val="000C0A58"/>
    <w:rsid w:val="000C1580"/>
    <w:rsid w:val="000C218E"/>
    <w:rsid w:val="000C21C0"/>
    <w:rsid w:val="000C26A6"/>
    <w:rsid w:val="000C2841"/>
    <w:rsid w:val="000C28F5"/>
    <w:rsid w:val="000C355C"/>
    <w:rsid w:val="000C3CEA"/>
    <w:rsid w:val="000C3FC0"/>
    <w:rsid w:val="000C4943"/>
    <w:rsid w:val="000C4B24"/>
    <w:rsid w:val="000C4E38"/>
    <w:rsid w:val="000C4E6F"/>
    <w:rsid w:val="000C4FE4"/>
    <w:rsid w:val="000C53B6"/>
    <w:rsid w:val="000C55AB"/>
    <w:rsid w:val="000C5739"/>
    <w:rsid w:val="000C5BF3"/>
    <w:rsid w:val="000C5CA0"/>
    <w:rsid w:val="000C664E"/>
    <w:rsid w:val="000C6A52"/>
    <w:rsid w:val="000C6E9C"/>
    <w:rsid w:val="000C6F86"/>
    <w:rsid w:val="000C6FFA"/>
    <w:rsid w:val="000C7A6F"/>
    <w:rsid w:val="000C7D52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1DB"/>
    <w:rsid w:val="000D63C3"/>
    <w:rsid w:val="000D733A"/>
    <w:rsid w:val="000D74BC"/>
    <w:rsid w:val="000D7DDA"/>
    <w:rsid w:val="000E00E4"/>
    <w:rsid w:val="000E1055"/>
    <w:rsid w:val="000E2588"/>
    <w:rsid w:val="000E2C17"/>
    <w:rsid w:val="000E3316"/>
    <w:rsid w:val="000E34EC"/>
    <w:rsid w:val="000E3F09"/>
    <w:rsid w:val="000E3F36"/>
    <w:rsid w:val="000E4094"/>
    <w:rsid w:val="000E44DF"/>
    <w:rsid w:val="000E469F"/>
    <w:rsid w:val="000E4D61"/>
    <w:rsid w:val="000E4D73"/>
    <w:rsid w:val="000E4E92"/>
    <w:rsid w:val="000E4EEA"/>
    <w:rsid w:val="000E512F"/>
    <w:rsid w:val="000E51B0"/>
    <w:rsid w:val="000E69F3"/>
    <w:rsid w:val="000E6ABD"/>
    <w:rsid w:val="000E7C10"/>
    <w:rsid w:val="000E7C75"/>
    <w:rsid w:val="000F07BA"/>
    <w:rsid w:val="000F1266"/>
    <w:rsid w:val="000F1599"/>
    <w:rsid w:val="000F1876"/>
    <w:rsid w:val="000F2015"/>
    <w:rsid w:val="000F2386"/>
    <w:rsid w:val="000F2D8B"/>
    <w:rsid w:val="000F3003"/>
    <w:rsid w:val="000F33FF"/>
    <w:rsid w:val="000F43E4"/>
    <w:rsid w:val="000F4F8A"/>
    <w:rsid w:val="000F6889"/>
    <w:rsid w:val="000F6B89"/>
    <w:rsid w:val="000F6C92"/>
    <w:rsid w:val="000F6E7E"/>
    <w:rsid w:val="000F74A5"/>
    <w:rsid w:val="000F7C57"/>
    <w:rsid w:val="001005C5"/>
    <w:rsid w:val="00100922"/>
    <w:rsid w:val="00100B9E"/>
    <w:rsid w:val="00100F7F"/>
    <w:rsid w:val="0010196B"/>
    <w:rsid w:val="00101A7C"/>
    <w:rsid w:val="00101AFE"/>
    <w:rsid w:val="00101FC9"/>
    <w:rsid w:val="001026C7"/>
    <w:rsid w:val="00102F8A"/>
    <w:rsid w:val="00103AAD"/>
    <w:rsid w:val="00104A6C"/>
    <w:rsid w:val="001055D0"/>
    <w:rsid w:val="001057A3"/>
    <w:rsid w:val="00105913"/>
    <w:rsid w:val="00105ED6"/>
    <w:rsid w:val="00106384"/>
    <w:rsid w:val="00106B97"/>
    <w:rsid w:val="0010721C"/>
    <w:rsid w:val="00107712"/>
    <w:rsid w:val="00107A04"/>
    <w:rsid w:val="00107B11"/>
    <w:rsid w:val="00107D6E"/>
    <w:rsid w:val="001102E3"/>
    <w:rsid w:val="00110752"/>
    <w:rsid w:val="00111767"/>
    <w:rsid w:val="00111EE4"/>
    <w:rsid w:val="00112016"/>
    <w:rsid w:val="00112B9A"/>
    <w:rsid w:val="0011302B"/>
    <w:rsid w:val="00113F12"/>
    <w:rsid w:val="0011412A"/>
    <w:rsid w:val="00114371"/>
    <w:rsid w:val="00114518"/>
    <w:rsid w:val="00114CCA"/>
    <w:rsid w:val="00114DCD"/>
    <w:rsid w:val="00115C4E"/>
    <w:rsid w:val="00115E1B"/>
    <w:rsid w:val="00115F4D"/>
    <w:rsid w:val="00116437"/>
    <w:rsid w:val="001164E3"/>
    <w:rsid w:val="00116F7F"/>
    <w:rsid w:val="001170E1"/>
    <w:rsid w:val="0011717B"/>
    <w:rsid w:val="00120041"/>
    <w:rsid w:val="00120509"/>
    <w:rsid w:val="0012055A"/>
    <w:rsid w:val="00120EB4"/>
    <w:rsid w:val="001218E3"/>
    <w:rsid w:val="00122434"/>
    <w:rsid w:val="00122670"/>
    <w:rsid w:val="00122DE4"/>
    <w:rsid w:val="00123063"/>
    <w:rsid w:val="00123473"/>
    <w:rsid w:val="001239AE"/>
    <w:rsid w:val="00123EEC"/>
    <w:rsid w:val="001247E0"/>
    <w:rsid w:val="001248FA"/>
    <w:rsid w:val="00124EAC"/>
    <w:rsid w:val="00125290"/>
    <w:rsid w:val="00125581"/>
    <w:rsid w:val="00125882"/>
    <w:rsid w:val="00125DB7"/>
    <w:rsid w:val="001268B8"/>
    <w:rsid w:val="00130205"/>
    <w:rsid w:val="0013143F"/>
    <w:rsid w:val="001314BD"/>
    <w:rsid w:val="0013151F"/>
    <w:rsid w:val="00131D8A"/>
    <w:rsid w:val="00132005"/>
    <w:rsid w:val="001321E9"/>
    <w:rsid w:val="00133A6E"/>
    <w:rsid w:val="00133F8E"/>
    <w:rsid w:val="0013491F"/>
    <w:rsid w:val="0013595B"/>
    <w:rsid w:val="00136154"/>
    <w:rsid w:val="001369F7"/>
    <w:rsid w:val="00136B98"/>
    <w:rsid w:val="00137E6F"/>
    <w:rsid w:val="00140C1C"/>
    <w:rsid w:val="00140F26"/>
    <w:rsid w:val="00141637"/>
    <w:rsid w:val="00141C60"/>
    <w:rsid w:val="00142374"/>
    <w:rsid w:val="001426CA"/>
    <w:rsid w:val="00142B4E"/>
    <w:rsid w:val="00143180"/>
    <w:rsid w:val="00143568"/>
    <w:rsid w:val="001439F4"/>
    <w:rsid w:val="00143B0F"/>
    <w:rsid w:val="00143B39"/>
    <w:rsid w:val="0014437B"/>
    <w:rsid w:val="00144628"/>
    <w:rsid w:val="00145977"/>
    <w:rsid w:val="00145E0B"/>
    <w:rsid w:val="00145EDF"/>
    <w:rsid w:val="001463AB"/>
    <w:rsid w:val="001464E2"/>
    <w:rsid w:val="00146D98"/>
    <w:rsid w:val="00147515"/>
    <w:rsid w:val="00147534"/>
    <w:rsid w:val="00147BD1"/>
    <w:rsid w:val="001502DF"/>
    <w:rsid w:val="00150577"/>
    <w:rsid w:val="001514DA"/>
    <w:rsid w:val="001525DF"/>
    <w:rsid w:val="001537E8"/>
    <w:rsid w:val="0015420D"/>
    <w:rsid w:val="001558B7"/>
    <w:rsid w:val="00155952"/>
    <w:rsid w:val="00155F31"/>
    <w:rsid w:val="00156234"/>
    <w:rsid w:val="001567B5"/>
    <w:rsid w:val="00157883"/>
    <w:rsid w:val="00160C44"/>
    <w:rsid w:val="00160EC5"/>
    <w:rsid w:val="00161496"/>
    <w:rsid w:val="00161D82"/>
    <w:rsid w:val="00162C1D"/>
    <w:rsid w:val="00163939"/>
    <w:rsid w:val="00163CC1"/>
    <w:rsid w:val="0016404E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70"/>
    <w:rsid w:val="00166EE5"/>
    <w:rsid w:val="001679EE"/>
    <w:rsid w:val="00167A01"/>
    <w:rsid w:val="00170686"/>
    <w:rsid w:val="00171043"/>
    <w:rsid w:val="0017127A"/>
    <w:rsid w:val="00171A38"/>
    <w:rsid w:val="00172ACB"/>
    <w:rsid w:val="00172BA4"/>
    <w:rsid w:val="001730BE"/>
    <w:rsid w:val="00173311"/>
    <w:rsid w:val="00173455"/>
    <w:rsid w:val="00174A7C"/>
    <w:rsid w:val="00174C13"/>
    <w:rsid w:val="00174CFC"/>
    <w:rsid w:val="001750B5"/>
    <w:rsid w:val="00175ECF"/>
    <w:rsid w:val="00176442"/>
    <w:rsid w:val="0017684D"/>
    <w:rsid w:val="00177137"/>
    <w:rsid w:val="0017725B"/>
    <w:rsid w:val="001773BE"/>
    <w:rsid w:val="001774B4"/>
    <w:rsid w:val="0017765B"/>
    <w:rsid w:val="001776E3"/>
    <w:rsid w:val="001802FA"/>
    <w:rsid w:val="001805DE"/>
    <w:rsid w:val="0018065F"/>
    <w:rsid w:val="00180A15"/>
    <w:rsid w:val="00181554"/>
    <w:rsid w:val="00181616"/>
    <w:rsid w:val="00181DD3"/>
    <w:rsid w:val="0018206C"/>
    <w:rsid w:val="00182A1A"/>
    <w:rsid w:val="00182F1B"/>
    <w:rsid w:val="001830EB"/>
    <w:rsid w:val="001830ED"/>
    <w:rsid w:val="00183AE2"/>
    <w:rsid w:val="00183B8F"/>
    <w:rsid w:val="00184561"/>
    <w:rsid w:val="00184BF7"/>
    <w:rsid w:val="00184D4D"/>
    <w:rsid w:val="00185050"/>
    <w:rsid w:val="001853A6"/>
    <w:rsid w:val="00185549"/>
    <w:rsid w:val="00186522"/>
    <w:rsid w:val="00186ABC"/>
    <w:rsid w:val="00187699"/>
    <w:rsid w:val="0019033A"/>
    <w:rsid w:val="00190400"/>
    <w:rsid w:val="00191292"/>
    <w:rsid w:val="001916FF"/>
    <w:rsid w:val="00191812"/>
    <w:rsid w:val="001919B8"/>
    <w:rsid w:val="00191F15"/>
    <w:rsid w:val="00192847"/>
    <w:rsid w:val="00192AA1"/>
    <w:rsid w:val="00192DD8"/>
    <w:rsid w:val="00192FDE"/>
    <w:rsid w:val="00192FF2"/>
    <w:rsid w:val="0019324C"/>
    <w:rsid w:val="001934E6"/>
    <w:rsid w:val="0019362E"/>
    <w:rsid w:val="001936B4"/>
    <w:rsid w:val="001937AE"/>
    <w:rsid w:val="00193B85"/>
    <w:rsid w:val="00193D9F"/>
    <w:rsid w:val="001941C7"/>
    <w:rsid w:val="0019427D"/>
    <w:rsid w:val="00194496"/>
    <w:rsid w:val="001945CD"/>
    <w:rsid w:val="00194E14"/>
    <w:rsid w:val="00195053"/>
    <w:rsid w:val="001950F0"/>
    <w:rsid w:val="00195196"/>
    <w:rsid w:val="00195678"/>
    <w:rsid w:val="00195E20"/>
    <w:rsid w:val="00195E42"/>
    <w:rsid w:val="001963DC"/>
    <w:rsid w:val="00196548"/>
    <w:rsid w:val="001973C8"/>
    <w:rsid w:val="00197B9E"/>
    <w:rsid w:val="00197C35"/>
    <w:rsid w:val="001A01AF"/>
    <w:rsid w:val="001A05F1"/>
    <w:rsid w:val="001A0F4B"/>
    <w:rsid w:val="001A1B58"/>
    <w:rsid w:val="001A1D5F"/>
    <w:rsid w:val="001A21B9"/>
    <w:rsid w:val="001A2234"/>
    <w:rsid w:val="001A2595"/>
    <w:rsid w:val="001A2597"/>
    <w:rsid w:val="001A28EA"/>
    <w:rsid w:val="001A2CD6"/>
    <w:rsid w:val="001A3109"/>
    <w:rsid w:val="001A4020"/>
    <w:rsid w:val="001A45F6"/>
    <w:rsid w:val="001A4778"/>
    <w:rsid w:val="001A4BC6"/>
    <w:rsid w:val="001A4E7B"/>
    <w:rsid w:val="001A4FFC"/>
    <w:rsid w:val="001A5231"/>
    <w:rsid w:val="001A546A"/>
    <w:rsid w:val="001A5CD9"/>
    <w:rsid w:val="001A5D70"/>
    <w:rsid w:val="001A6661"/>
    <w:rsid w:val="001A6EA6"/>
    <w:rsid w:val="001A6FA9"/>
    <w:rsid w:val="001B02AB"/>
    <w:rsid w:val="001B04D6"/>
    <w:rsid w:val="001B1302"/>
    <w:rsid w:val="001B13A6"/>
    <w:rsid w:val="001B19DB"/>
    <w:rsid w:val="001B1A90"/>
    <w:rsid w:val="001B1F49"/>
    <w:rsid w:val="001B2176"/>
    <w:rsid w:val="001B23D6"/>
    <w:rsid w:val="001B2410"/>
    <w:rsid w:val="001B2616"/>
    <w:rsid w:val="001B27C1"/>
    <w:rsid w:val="001B28E9"/>
    <w:rsid w:val="001B37AD"/>
    <w:rsid w:val="001B38AC"/>
    <w:rsid w:val="001B3B28"/>
    <w:rsid w:val="001B45E7"/>
    <w:rsid w:val="001B487E"/>
    <w:rsid w:val="001B4E1B"/>
    <w:rsid w:val="001B56E0"/>
    <w:rsid w:val="001B5981"/>
    <w:rsid w:val="001B5B1E"/>
    <w:rsid w:val="001B5B43"/>
    <w:rsid w:val="001B6629"/>
    <w:rsid w:val="001B7614"/>
    <w:rsid w:val="001B7D87"/>
    <w:rsid w:val="001C0019"/>
    <w:rsid w:val="001C0862"/>
    <w:rsid w:val="001C11F5"/>
    <w:rsid w:val="001C15AB"/>
    <w:rsid w:val="001C1834"/>
    <w:rsid w:val="001C2708"/>
    <w:rsid w:val="001C306F"/>
    <w:rsid w:val="001C30DD"/>
    <w:rsid w:val="001C38CE"/>
    <w:rsid w:val="001C392F"/>
    <w:rsid w:val="001C41CF"/>
    <w:rsid w:val="001C4AAC"/>
    <w:rsid w:val="001C4D7F"/>
    <w:rsid w:val="001C4E57"/>
    <w:rsid w:val="001C5703"/>
    <w:rsid w:val="001C580F"/>
    <w:rsid w:val="001C5942"/>
    <w:rsid w:val="001C5FE1"/>
    <w:rsid w:val="001C66BC"/>
    <w:rsid w:val="001C68C5"/>
    <w:rsid w:val="001C6E4E"/>
    <w:rsid w:val="001C6E62"/>
    <w:rsid w:val="001D0242"/>
    <w:rsid w:val="001D0682"/>
    <w:rsid w:val="001D1ADE"/>
    <w:rsid w:val="001D1D14"/>
    <w:rsid w:val="001D2109"/>
    <w:rsid w:val="001D26C4"/>
    <w:rsid w:val="001D2F28"/>
    <w:rsid w:val="001D320E"/>
    <w:rsid w:val="001D331D"/>
    <w:rsid w:val="001D33EE"/>
    <w:rsid w:val="001D3BA9"/>
    <w:rsid w:val="001D3C90"/>
    <w:rsid w:val="001D3E32"/>
    <w:rsid w:val="001D4424"/>
    <w:rsid w:val="001D4E75"/>
    <w:rsid w:val="001D6710"/>
    <w:rsid w:val="001D742F"/>
    <w:rsid w:val="001D78B7"/>
    <w:rsid w:val="001D7944"/>
    <w:rsid w:val="001E0881"/>
    <w:rsid w:val="001E14FF"/>
    <w:rsid w:val="001E17E9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5F3F"/>
    <w:rsid w:val="001E601D"/>
    <w:rsid w:val="001E654B"/>
    <w:rsid w:val="001E681D"/>
    <w:rsid w:val="001E729E"/>
    <w:rsid w:val="001E7967"/>
    <w:rsid w:val="001E7AE4"/>
    <w:rsid w:val="001E7F5A"/>
    <w:rsid w:val="001F0BFD"/>
    <w:rsid w:val="001F0D36"/>
    <w:rsid w:val="001F0D91"/>
    <w:rsid w:val="001F1243"/>
    <w:rsid w:val="001F1502"/>
    <w:rsid w:val="001F1639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482"/>
    <w:rsid w:val="001F3D9A"/>
    <w:rsid w:val="001F50C6"/>
    <w:rsid w:val="001F5446"/>
    <w:rsid w:val="001F63FE"/>
    <w:rsid w:val="001F6733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2B79"/>
    <w:rsid w:val="00202D31"/>
    <w:rsid w:val="0020396A"/>
    <w:rsid w:val="00203C6A"/>
    <w:rsid w:val="00203DA1"/>
    <w:rsid w:val="00204204"/>
    <w:rsid w:val="002043A9"/>
    <w:rsid w:val="00204447"/>
    <w:rsid w:val="002045F7"/>
    <w:rsid w:val="00204AD7"/>
    <w:rsid w:val="002055DB"/>
    <w:rsid w:val="002056D6"/>
    <w:rsid w:val="002061E2"/>
    <w:rsid w:val="00206302"/>
    <w:rsid w:val="0020798B"/>
    <w:rsid w:val="00207C12"/>
    <w:rsid w:val="00207C56"/>
    <w:rsid w:val="0021022A"/>
    <w:rsid w:val="00211AF4"/>
    <w:rsid w:val="002129E5"/>
    <w:rsid w:val="0021384B"/>
    <w:rsid w:val="00214012"/>
    <w:rsid w:val="0021427C"/>
    <w:rsid w:val="002143B6"/>
    <w:rsid w:val="0021453C"/>
    <w:rsid w:val="00214979"/>
    <w:rsid w:val="00214B86"/>
    <w:rsid w:val="00214B8E"/>
    <w:rsid w:val="002152B2"/>
    <w:rsid w:val="002154E3"/>
    <w:rsid w:val="002154F6"/>
    <w:rsid w:val="00215712"/>
    <w:rsid w:val="002157E4"/>
    <w:rsid w:val="0021590D"/>
    <w:rsid w:val="0021603F"/>
    <w:rsid w:val="0021689C"/>
    <w:rsid w:val="002169DF"/>
    <w:rsid w:val="00216D68"/>
    <w:rsid w:val="00217515"/>
    <w:rsid w:val="00217682"/>
    <w:rsid w:val="00217AB6"/>
    <w:rsid w:val="0022174C"/>
    <w:rsid w:val="00221E48"/>
    <w:rsid w:val="00222511"/>
    <w:rsid w:val="002226F2"/>
    <w:rsid w:val="00223DAD"/>
    <w:rsid w:val="00223DE3"/>
    <w:rsid w:val="00223F03"/>
    <w:rsid w:val="00224247"/>
    <w:rsid w:val="00224390"/>
    <w:rsid w:val="0022477B"/>
    <w:rsid w:val="00224B2B"/>
    <w:rsid w:val="002254F6"/>
    <w:rsid w:val="002262EC"/>
    <w:rsid w:val="002269F0"/>
    <w:rsid w:val="00226F84"/>
    <w:rsid w:val="00227345"/>
    <w:rsid w:val="00227659"/>
    <w:rsid w:val="002279D4"/>
    <w:rsid w:val="002308D6"/>
    <w:rsid w:val="00230EEB"/>
    <w:rsid w:val="00232FAD"/>
    <w:rsid w:val="00233B6C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37FF2"/>
    <w:rsid w:val="002405B6"/>
    <w:rsid w:val="002414BF"/>
    <w:rsid w:val="002416BF"/>
    <w:rsid w:val="00241A7A"/>
    <w:rsid w:val="00241B2D"/>
    <w:rsid w:val="00241F86"/>
    <w:rsid w:val="00242423"/>
    <w:rsid w:val="002424D4"/>
    <w:rsid w:val="00243285"/>
    <w:rsid w:val="00243F1D"/>
    <w:rsid w:val="0024563A"/>
    <w:rsid w:val="0024589E"/>
    <w:rsid w:val="00245B86"/>
    <w:rsid w:val="00245E30"/>
    <w:rsid w:val="0024691D"/>
    <w:rsid w:val="00246A71"/>
    <w:rsid w:val="00247C65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385"/>
    <w:rsid w:val="002535B5"/>
    <w:rsid w:val="00253892"/>
    <w:rsid w:val="00253BA2"/>
    <w:rsid w:val="0025520A"/>
    <w:rsid w:val="00255A67"/>
    <w:rsid w:val="00255C25"/>
    <w:rsid w:val="00256189"/>
    <w:rsid w:val="00257113"/>
    <w:rsid w:val="0025722A"/>
    <w:rsid w:val="00257749"/>
    <w:rsid w:val="00257C42"/>
    <w:rsid w:val="0026148F"/>
    <w:rsid w:val="00262205"/>
    <w:rsid w:val="00262D6D"/>
    <w:rsid w:val="002636FA"/>
    <w:rsid w:val="00263B47"/>
    <w:rsid w:val="00263C24"/>
    <w:rsid w:val="002647E0"/>
    <w:rsid w:val="00264805"/>
    <w:rsid w:val="00264C33"/>
    <w:rsid w:val="00264F36"/>
    <w:rsid w:val="00265444"/>
    <w:rsid w:val="0026550C"/>
    <w:rsid w:val="00265F69"/>
    <w:rsid w:val="00266001"/>
    <w:rsid w:val="00266732"/>
    <w:rsid w:val="002676EA"/>
    <w:rsid w:val="00267A97"/>
    <w:rsid w:val="00270124"/>
    <w:rsid w:val="002704ED"/>
    <w:rsid w:val="0027095C"/>
    <w:rsid w:val="002713A8"/>
    <w:rsid w:val="00271502"/>
    <w:rsid w:val="0027190F"/>
    <w:rsid w:val="00271C74"/>
    <w:rsid w:val="00272635"/>
    <w:rsid w:val="002728BE"/>
    <w:rsid w:val="00272D57"/>
    <w:rsid w:val="002733A9"/>
    <w:rsid w:val="00273AB0"/>
    <w:rsid w:val="002741F3"/>
    <w:rsid w:val="0027540D"/>
    <w:rsid w:val="00275AAD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5CC"/>
    <w:rsid w:val="00282E3A"/>
    <w:rsid w:val="00282E93"/>
    <w:rsid w:val="00282FFD"/>
    <w:rsid w:val="002835AF"/>
    <w:rsid w:val="002838C1"/>
    <w:rsid w:val="0028408D"/>
    <w:rsid w:val="0028484B"/>
    <w:rsid w:val="00285723"/>
    <w:rsid w:val="00285829"/>
    <w:rsid w:val="00286198"/>
    <w:rsid w:val="002863FF"/>
    <w:rsid w:val="00286DCF"/>
    <w:rsid w:val="00287210"/>
    <w:rsid w:val="0028773C"/>
    <w:rsid w:val="0028789A"/>
    <w:rsid w:val="002904CB"/>
    <w:rsid w:val="00291D19"/>
    <w:rsid w:val="0029225B"/>
    <w:rsid w:val="002924CE"/>
    <w:rsid w:val="002927E4"/>
    <w:rsid w:val="002932B5"/>
    <w:rsid w:val="00293541"/>
    <w:rsid w:val="00293C86"/>
    <w:rsid w:val="00293FA5"/>
    <w:rsid w:val="002947ED"/>
    <w:rsid w:val="00294987"/>
    <w:rsid w:val="00294F8B"/>
    <w:rsid w:val="00294F93"/>
    <w:rsid w:val="002950C7"/>
    <w:rsid w:val="00295FBD"/>
    <w:rsid w:val="002968D3"/>
    <w:rsid w:val="00297195"/>
    <w:rsid w:val="002975F0"/>
    <w:rsid w:val="00297A50"/>
    <w:rsid w:val="00297B2C"/>
    <w:rsid w:val="002A0F28"/>
    <w:rsid w:val="002A1020"/>
    <w:rsid w:val="002A1185"/>
    <w:rsid w:val="002A1219"/>
    <w:rsid w:val="002A1E52"/>
    <w:rsid w:val="002A22BD"/>
    <w:rsid w:val="002A2A53"/>
    <w:rsid w:val="002A3D17"/>
    <w:rsid w:val="002A4CAE"/>
    <w:rsid w:val="002A4FF8"/>
    <w:rsid w:val="002A5074"/>
    <w:rsid w:val="002A52E5"/>
    <w:rsid w:val="002A61FF"/>
    <w:rsid w:val="002A623D"/>
    <w:rsid w:val="002A67BB"/>
    <w:rsid w:val="002A6F92"/>
    <w:rsid w:val="002A722B"/>
    <w:rsid w:val="002A723E"/>
    <w:rsid w:val="002B01EC"/>
    <w:rsid w:val="002B08BA"/>
    <w:rsid w:val="002B0994"/>
    <w:rsid w:val="002B0A05"/>
    <w:rsid w:val="002B109C"/>
    <w:rsid w:val="002B1316"/>
    <w:rsid w:val="002B1335"/>
    <w:rsid w:val="002B1799"/>
    <w:rsid w:val="002B2111"/>
    <w:rsid w:val="002B224B"/>
    <w:rsid w:val="002B2443"/>
    <w:rsid w:val="002B2813"/>
    <w:rsid w:val="002B2DFB"/>
    <w:rsid w:val="002B342F"/>
    <w:rsid w:val="002B3AB2"/>
    <w:rsid w:val="002B3D37"/>
    <w:rsid w:val="002B4409"/>
    <w:rsid w:val="002B4549"/>
    <w:rsid w:val="002B45F9"/>
    <w:rsid w:val="002B532D"/>
    <w:rsid w:val="002B61B8"/>
    <w:rsid w:val="002B6B40"/>
    <w:rsid w:val="002B711A"/>
    <w:rsid w:val="002B77A7"/>
    <w:rsid w:val="002B79FA"/>
    <w:rsid w:val="002B7A2F"/>
    <w:rsid w:val="002C0766"/>
    <w:rsid w:val="002C0B82"/>
    <w:rsid w:val="002C1142"/>
    <w:rsid w:val="002C1622"/>
    <w:rsid w:val="002C19C0"/>
    <w:rsid w:val="002C1E6A"/>
    <w:rsid w:val="002C239D"/>
    <w:rsid w:val="002C24E5"/>
    <w:rsid w:val="002C2545"/>
    <w:rsid w:val="002C268C"/>
    <w:rsid w:val="002C2BDD"/>
    <w:rsid w:val="002C2C4D"/>
    <w:rsid w:val="002C34A5"/>
    <w:rsid w:val="002C4132"/>
    <w:rsid w:val="002C486D"/>
    <w:rsid w:val="002C4AEA"/>
    <w:rsid w:val="002C4E79"/>
    <w:rsid w:val="002C5572"/>
    <w:rsid w:val="002C5927"/>
    <w:rsid w:val="002C5B09"/>
    <w:rsid w:val="002C62EF"/>
    <w:rsid w:val="002C6D37"/>
    <w:rsid w:val="002C6EB3"/>
    <w:rsid w:val="002C7594"/>
    <w:rsid w:val="002D0016"/>
    <w:rsid w:val="002D03AD"/>
    <w:rsid w:val="002D0830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A9F"/>
    <w:rsid w:val="002D3C1D"/>
    <w:rsid w:val="002D3F46"/>
    <w:rsid w:val="002D41E2"/>
    <w:rsid w:val="002D46DE"/>
    <w:rsid w:val="002D4E22"/>
    <w:rsid w:val="002D5CF3"/>
    <w:rsid w:val="002D64D6"/>
    <w:rsid w:val="002D7223"/>
    <w:rsid w:val="002D79EA"/>
    <w:rsid w:val="002E110E"/>
    <w:rsid w:val="002E1A67"/>
    <w:rsid w:val="002E1BE9"/>
    <w:rsid w:val="002E212E"/>
    <w:rsid w:val="002E2A7F"/>
    <w:rsid w:val="002E315C"/>
    <w:rsid w:val="002E38F5"/>
    <w:rsid w:val="002E4743"/>
    <w:rsid w:val="002E4990"/>
    <w:rsid w:val="002E605B"/>
    <w:rsid w:val="002E6276"/>
    <w:rsid w:val="002E73A8"/>
    <w:rsid w:val="002E78A9"/>
    <w:rsid w:val="002E7974"/>
    <w:rsid w:val="002F0C64"/>
    <w:rsid w:val="002F0F99"/>
    <w:rsid w:val="002F1274"/>
    <w:rsid w:val="002F1654"/>
    <w:rsid w:val="002F1BAA"/>
    <w:rsid w:val="002F1C18"/>
    <w:rsid w:val="002F1C7F"/>
    <w:rsid w:val="002F2565"/>
    <w:rsid w:val="002F2CFA"/>
    <w:rsid w:val="002F334B"/>
    <w:rsid w:val="002F3709"/>
    <w:rsid w:val="002F372F"/>
    <w:rsid w:val="002F37C9"/>
    <w:rsid w:val="002F37E6"/>
    <w:rsid w:val="002F3E00"/>
    <w:rsid w:val="002F46E5"/>
    <w:rsid w:val="002F4A03"/>
    <w:rsid w:val="002F597A"/>
    <w:rsid w:val="002F68B4"/>
    <w:rsid w:val="002F6D02"/>
    <w:rsid w:val="002F6D4D"/>
    <w:rsid w:val="002F700C"/>
    <w:rsid w:val="002F711F"/>
    <w:rsid w:val="002F7AE3"/>
    <w:rsid w:val="002F7EEE"/>
    <w:rsid w:val="003008A3"/>
    <w:rsid w:val="0030093E"/>
    <w:rsid w:val="00301059"/>
    <w:rsid w:val="00301D2E"/>
    <w:rsid w:val="0030227B"/>
    <w:rsid w:val="00302CE6"/>
    <w:rsid w:val="003033E9"/>
    <w:rsid w:val="00303447"/>
    <w:rsid w:val="00303449"/>
    <w:rsid w:val="00303760"/>
    <w:rsid w:val="00303F1E"/>
    <w:rsid w:val="00304E12"/>
    <w:rsid w:val="00305576"/>
    <w:rsid w:val="00305D1A"/>
    <w:rsid w:val="00305E7C"/>
    <w:rsid w:val="00305F5D"/>
    <w:rsid w:val="003062C6"/>
    <w:rsid w:val="00306BD7"/>
    <w:rsid w:val="00306CE6"/>
    <w:rsid w:val="00306D1D"/>
    <w:rsid w:val="00307495"/>
    <w:rsid w:val="003102F6"/>
    <w:rsid w:val="00310A0E"/>
    <w:rsid w:val="00310DDC"/>
    <w:rsid w:val="0031152A"/>
    <w:rsid w:val="003116ED"/>
    <w:rsid w:val="0031182E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B26"/>
    <w:rsid w:val="00314CEF"/>
    <w:rsid w:val="00315138"/>
    <w:rsid w:val="0031552B"/>
    <w:rsid w:val="00315D22"/>
    <w:rsid w:val="00316DEE"/>
    <w:rsid w:val="00317897"/>
    <w:rsid w:val="003179E6"/>
    <w:rsid w:val="0032044E"/>
    <w:rsid w:val="003206ED"/>
    <w:rsid w:val="003207E0"/>
    <w:rsid w:val="003227F9"/>
    <w:rsid w:val="003232A9"/>
    <w:rsid w:val="0032365E"/>
    <w:rsid w:val="00323713"/>
    <w:rsid w:val="00324079"/>
    <w:rsid w:val="003241CC"/>
    <w:rsid w:val="0032425E"/>
    <w:rsid w:val="00324607"/>
    <w:rsid w:val="00324C4F"/>
    <w:rsid w:val="00324DF1"/>
    <w:rsid w:val="003257DF"/>
    <w:rsid w:val="00325B41"/>
    <w:rsid w:val="00325EA9"/>
    <w:rsid w:val="00325FE3"/>
    <w:rsid w:val="00326C99"/>
    <w:rsid w:val="00327817"/>
    <w:rsid w:val="003279D0"/>
    <w:rsid w:val="00327FBB"/>
    <w:rsid w:val="00330297"/>
    <w:rsid w:val="00330B68"/>
    <w:rsid w:val="00330E75"/>
    <w:rsid w:val="00331953"/>
    <w:rsid w:val="00331C2A"/>
    <w:rsid w:val="00332553"/>
    <w:rsid w:val="003327C0"/>
    <w:rsid w:val="003329D3"/>
    <w:rsid w:val="00333432"/>
    <w:rsid w:val="003337FA"/>
    <w:rsid w:val="003342E3"/>
    <w:rsid w:val="0033499F"/>
    <w:rsid w:val="00334A64"/>
    <w:rsid w:val="00335132"/>
    <w:rsid w:val="003354DF"/>
    <w:rsid w:val="0033554E"/>
    <w:rsid w:val="00335F3F"/>
    <w:rsid w:val="00336130"/>
    <w:rsid w:val="00336855"/>
    <w:rsid w:val="003374E5"/>
    <w:rsid w:val="0033753D"/>
    <w:rsid w:val="003377AE"/>
    <w:rsid w:val="00340696"/>
    <w:rsid w:val="0034128F"/>
    <w:rsid w:val="00341870"/>
    <w:rsid w:val="0034211E"/>
    <w:rsid w:val="0034268D"/>
    <w:rsid w:val="00343024"/>
    <w:rsid w:val="003437F6"/>
    <w:rsid w:val="00343A2B"/>
    <w:rsid w:val="00343AB9"/>
    <w:rsid w:val="00343AEC"/>
    <w:rsid w:val="00343EC7"/>
    <w:rsid w:val="00344871"/>
    <w:rsid w:val="00344E35"/>
    <w:rsid w:val="00344E54"/>
    <w:rsid w:val="0034512B"/>
    <w:rsid w:val="0034517D"/>
    <w:rsid w:val="00345586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267B"/>
    <w:rsid w:val="00352A0E"/>
    <w:rsid w:val="00353014"/>
    <w:rsid w:val="00353568"/>
    <w:rsid w:val="00354135"/>
    <w:rsid w:val="003542C9"/>
    <w:rsid w:val="0035488C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0FB7"/>
    <w:rsid w:val="00361269"/>
    <w:rsid w:val="00361834"/>
    <w:rsid w:val="00362249"/>
    <w:rsid w:val="00362EF3"/>
    <w:rsid w:val="0036338E"/>
    <w:rsid w:val="003638F9"/>
    <w:rsid w:val="00364472"/>
    <w:rsid w:val="00364B66"/>
    <w:rsid w:val="00364E26"/>
    <w:rsid w:val="00365387"/>
    <w:rsid w:val="003654A2"/>
    <w:rsid w:val="00365539"/>
    <w:rsid w:val="00365F01"/>
    <w:rsid w:val="00366221"/>
    <w:rsid w:val="003662C8"/>
    <w:rsid w:val="00366684"/>
    <w:rsid w:val="00366692"/>
    <w:rsid w:val="003667FF"/>
    <w:rsid w:val="00366A28"/>
    <w:rsid w:val="00366AE9"/>
    <w:rsid w:val="00366B49"/>
    <w:rsid w:val="00366F49"/>
    <w:rsid w:val="00367242"/>
    <w:rsid w:val="00367BF7"/>
    <w:rsid w:val="00367D16"/>
    <w:rsid w:val="00370599"/>
    <w:rsid w:val="00370693"/>
    <w:rsid w:val="003709C1"/>
    <w:rsid w:val="00371AD3"/>
    <w:rsid w:val="00372067"/>
    <w:rsid w:val="003721A5"/>
    <w:rsid w:val="00372B76"/>
    <w:rsid w:val="00373360"/>
    <w:rsid w:val="00373416"/>
    <w:rsid w:val="00373A1D"/>
    <w:rsid w:val="00373ED2"/>
    <w:rsid w:val="00374705"/>
    <w:rsid w:val="00374B34"/>
    <w:rsid w:val="003752B4"/>
    <w:rsid w:val="003757F8"/>
    <w:rsid w:val="003759F4"/>
    <w:rsid w:val="00375B40"/>
    <w:rsid w:val="00375C95"/>
    <w:rsid w:val="0037636E"/>
    <w:rsid w:val="00376566"/>
    <w:rsid w:val="00376941"/>
    <w:rsid w:val="003772BF"/>
    <w:rsid w:val="00377EE9"/>
    <w:rsid w:val="00382D16"/>
    <w:rsid w:val="003834CC"/>
    <w:rsid w:val="003835AB"/>
    <w:rsid w:val="003842BD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2F6F"/>
    <w:rsid w:val="00393224"/>
    <w:rsid w:val="003933B0"/>
    <w:rsid w:val="0039353D"/>
    <w:rsid w:val="00393AC2"/>
    <w:rsid w:val="00393F65"/>
    <w:rsid w:val="00393F72"/>
    <w:rsid w:val="00394297"/>
    <w:rsid w:val="00394FD5"/>
    <w:rsid w:val="00395154"/>
    <w:rsid w:val="003951CC"/>
    <w:rsid w:val="00396200"/>
    <w:rsid w:val="0039748E"/>
    <w:rsid w:val="00397876"/>
    <w:rsid w:val="00397A8B"/>
    <w:rsid w:val="003A11B0"/>
    <w:rsid w:val="003A1C07"/>
    <w:rsid w:val="003A257B"/>
    <w:rsid w:val="003A2750"/>
    <w:rsid w:val="003A2899"/>
    <w:rsid w:val="003A2A35"/>
    <w:rsid w:val="003A45DC"/>
    <w:rsid w:val="003A4BE9"/>
    <w:rsid w:val="003A509D"/>
    <w:rsid w:val="003A5810"/>
    <w:rsid w:val="003A66DC"/>
    <w:rsid w:val="003A6751"/>
    <w:rsid w:val="003A67D4"/>
    <w:rsid w:val="003A6FBE"/>
    <w:rsid w:val="003A71E7"/>
    <w:rsid w:val="003A77FE"/>
    <w:rsid w:val="003A7CEB"/>
    <w:rsid w:val="003A7E81"/>
    <w:rsid w:val="003B05CE"/>
    <w:rsid w:val="003B0DF9"/>
    <w:rsid w:val="003B117F"/>
    <w:rsid w:val="003B12B2"/>
    <w:rsid w:val="003B1784"/>
    <w:rsid w:val="003B1AA6"/>
    <w:rsid w:val="003B30FF"/>
    <w:rsid w:val="003B3C21"/>
    <w:rsid w:val="003B3F34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0AEA"/>
    <w:rsid w:val="003C14DB"/>
    <w:rsid w:val="003C15BD"/>
    <w:rsid w:val="003C18D9"/>
    <w:rsid w:val="003C1D58"/>
    <w:rsid w:val="003C1DA1"/>
    <w:rsid w:val="003C1F73"/>
    <w:rsid w:val="003C2286"/>
    <w:rsid w:val="003C23B6"/>
    <w:rsid w:val="003C24A9"/>
    <w:rsid w:val="003C293E"/>
    <w:rsid w:val="003C29A8"/>
    <w:rsid w:val="003C3801"/>
    <w:rsid w:val="003C40F2"/>
    <w:rsid w:val="003C4256"/>
    <w:rsid w:val="003C42CD"/>
    <w:rsid w:val="003C4354"/>
    <w:rsid w:val="003C43CD"/>
    <w:rsid w:val="003C462D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4B00"/>
    <w:rsid w:val="003D5053"/>
    <w:rsid w:val="003D5726"/>
    <w:rsid w:val="003D582D"/>
    <w:rsid w:val="003D594C"/>
    <w:rsid w:val="003D5D33"/>
    <w:rsid w:val="003D62FD"/>
    <w:rsid w:val="003D6B17"/>
    <w:rsid w:val="003D7119"/>
    <w:rsid w:val="003D754D"/>
    <w:rsid w:val="003D7D59"/>
    <w:rsid w:val="003D7DB5"/>
    <w:rsid w:val="003D7EC1"/>
    <w:rsid w:val="003E0592"/>
    <w:rsid w:val="003E0831"/>
    <w:rsid w:val="003E0C54"/>
    <w:rsid w:val="003E1619"/>
    <w:rsid w:val="003E1621"/>
    <w:rsid w:val="003E17CF"/>
    <w:rsid w:val="003E210E"/>
    <w:rsid w:val="003E2485"/>
    <w:rsid w:val="003E24F3"/>
    <w:rsid w:val="003E404C"/>
    <w:rsid w:val="003E470F"/>
    <w:rsid w:val="003E66DF"/>
    <w:rsid w:val="003E6DDA"/>
    <w:rsid w:val="003E7804"/>
    <w:rsid w:val="003E7A67"/>
    <w:rsid w:val="003E7DA4"/>
    <w:rsid w:val="003F135C"/>
    <w:rsid w:val="003F13FC"/>
    <w:rsid w:val="003F183E"/>
    <w:rsid w:val="003F192C"/>
    <w:rsid w:val="003F1CE8"/>
    <w:rsid w:val="003F1FAB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49A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1D9"/>
    <w:rsid w:val="00404200"/>
    <w:rsid w:val="004043ED"/>
    <w:rsid w:val="0040473A"/>
    <w:rsid w:val="00404C9E"/>
    <w:rsid w:val="00405BA9"/>
    <w:rsid w:val="00405CE9"/>
    <w:rsid w:val="0040622C"/>
    <w:rsid w:val="00407D72"/>
    <w:rsid w:val="00407E1E"/>
    <w:rsid w:val="00410112"/>
    <w:rsid w:val="00410166"/>
    <w:rsid w:val="00410D6B"/>
    <w:rsid w:val="004110BB"/>
    <w:rsid w:val="00411664"/>
    <w:rsid w:val="00411FA6"/>
    <w:rsid w:val="00412B0C"/>
    <w:rsid w:val="00413AA6"/>
    <w:rsid w:val="00413DA8"/>
    <w:rsid w:val="00414035"/>
    <w:rsid w:val="004140B1"/>
    <w:rsid w:val="004141C8"/>
    <w:rsid w:val="00414782"/>
    <w:rsid w:val="00414B23"/>
    <w:rsid w:val="00415202"/>
    <w:rsid w:val="0041528D"/>
    <w:rsid w:val="0041551A"/>
    <w:rsid w:val="0041598E"/>
    <w:rsid w:val="00415BFE"/>
    <w:rsid w:val="00415F33"/>
    <w:rsid w:val="00416357"/>
    <w:rsid w:val="00416643"/>
    <w:rsid w:val="004168DF"/>
    <w:rsid w:val="00417AD5"/>
    <w:rsid w:val="00420046"/>
    <w:rsid w:val="0042017A"/>
    <w:rsid w:val="004206E4"/>
    <w:rsid w:val="004212B5"/>
    <w:rsid w:val="004214A0"/>
    <w:rsid w:val="0042238B"/>
    <w:rsid w:val="00422727"/>
    <w:rsid w:val="00422C89"/>
    <w:rsid w:val="00423624"/>
    <w:rsid w:val="00423FA0"/>
    <w:rsid w:val="0042401B"/>
    <w:rsid w:val="00424A14"/>
    <w:rsid w:val="004251C6"/>
    <w:rsid w:val="004252DD"/>
    <w:rsid w:val="004255CA"/>
    <w:rsid w:val="0042575C"/>
    <w:rsid w:val="004257B3"/>
    <w:rsid w:val="00425968"/>
    <w:rsid w:val="00426849"/>
    <w:rsid w:val="00427412"/>
    <w:rsid w:val="004275DA"/>
    <w:rsid w:val="004276B9"/>
    <w:rsid w:val="004304A1"/>
    <w:rsid w:val="00430519"/>
    <w:rsid w:val="00430673"/>
    <w:rsid w:val="00430D31"/>
    <w:rsid w:val="0043101C"/>
    <w:rsid w:val="004313A2"/>
    <w:rsid w:val="00431E16"/>
    <w:rsid w:val="004323AE"/>
    <w:rsid w:val="00432795"/>
    <w:rsid w:val="00432F2A"/>
    <w:rsid w:val="00432FED"/>
    <w:rsid w:val="00433053"/>
    <w:rsid w:val="004333DE"/>
    <w:rsid w:val="004346FA"/>
    <w:rsid w:val="004350D8"/>
    <w:rsid w:val="004354DA"/>
    <w:rsid w:val="0043573A"/>
    <w:rsid w:val="00435976"/>
    <w:rsid w:val="004366FF"/>
    <w:rsid w:val="00436761"/>
    <w:rsid w:val="0043686F"/>
    <w:rsid w:val="004368DF"/>
    <w:rsid w:val="00436A61"/>
    <w:rsid w:val="00436AAC"/>
    <w:rsid w:val="00436FC6"/>
    <w:rsid w:val="004370F2"/>
    <w:rsid w:val="00437244"/>
    <w:rsid w:val="004377BF"/>
    <w:rsid w:val="004377F3"/>
    <w:rsid w:val="00437BC8"/>
    <w:rsid w:val="00437E44"/>
    <w:rsid w:val="00440078"/>
    <w:rsid w:val="00440676"/>
    <w:rsid w:val="00441999"/>
    <w:rsid w:val="00441BB8"/>
    <w:rsid w:val="00441C5C"/>
    <w:rsid w:val="00441F0D"/>
    <w:rsid w:val="00441FA1"/>
    <w:rsid w:val="0044304F"/>
    <w:rsid w:val="004438EC"/>
    <w:rsid w:val="00443C75"/>
    <w:rsid w:val="00443F24"/>
    <w:rsid w:val="0044404B"/>
    <w:rsid w:val="004448C4"/>
    <w:rsid w:val="00444B41"/>
    <w:rsid w:val="00444D51"/>
    <w:rsid w:val="0044522C"/>
    <w:rsid w:val="004452E0"/>
    <w:rsid w:val="00445985"/>
    <w:rsid w:val="00445C83"/>
    <w:rsid w:val="00446F80"/>
    <w:rsid w:val="00447336"/>
    <w:rsid w:val="00447EE6"/>
    <w:rsid w:val="004506E2"/>
    <w:rsid w:val="00450A94"/>
    <w:rsid w:val="00450C69"/>
    <w:rsid w:val="00450CD2"/>
    <w:rsid w:val="00450F0D"/>
    <w:rsid w:val="00451322"/>
    <w:rsid w:val="004513D5"/>
    <w:rsid w:val="00451C7A"/>
    <w:rsid w:val="00451F22"/>
    <w:rsid w:val="00451F73"/>
    <w:rsid w:val="004520CC"/>
    <w:rsid w:val="004523BC"/>
    <w:rsid w:val="004526CE"/>
    <w:rsid w:val="004534FF"/>
    <w:rsid w:val="00453B99"/>
    <w:rsid w:val="00453DFE"/>
    <w:rsid w:val="00454899"/>
    <w:rsid w:val="004554D2"/>
    <w:rsid w:val="004567B9"/>
    <w:rsid w:val="00456B01"/>
    <w:rsid w:val="00456DEB"/>
    <w:rsid w:val="00457139"/>
    <w:rsid w:val="004573C0"/>
    <w:rsid w:val="00457660"/>
    <w:rsid w:val="004578F2"/>
    <w:rsid w:val="00460040"/>
    <w:rsid w:val="004609D9"/>
    <w:rsid w:val="00460ACB"/>
    <w:rsid w:val="00460B1B"/>
    <w:rsid w:val="00460C4C"/>
    <w:rsid w:val="00460C72"/>
    <w:rsid w:val="00461690"/>
    <w:rsid w:val="00461B40"/>
    <w:rsid w:val="00462291"/>
    <w:rsid w:val="004622A9"/>
    <w:rsid w:val="004622B0"/>
    <w:rsid w:val="004628A3"/>
    <w:rsid w:val="0046357A"/>
    <w:rsid w:val="0046395D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5D7"/>
    <w:rsid w:val="0046786B"/>
    <w:rsid w:val="004710B0"/>
    <w:rsid w:val="00471E29"/>
    <w:rsid w:val="0047237C"/>
    <w:rsid w:val="004723FA"/>
    <w:rsid w:val="00472DE0"/>
    <w:rsid w:val="00472E1A"/>
    <w:rsid w:val="00472E7D"/>
    <w:rsid w:val="00473CB0"/>
    <w:rsid w:val="0047453D"/>
    <w:rsid w:val="004751FB"/>
    <w:rsid w:val="0047558F"/>
    <w:rsid w:val="00475C3C"/>
    <w:rsid w:val="00475E26"/>
    <w:rsid w:val="00476081"/>
    <w:rsid w:val="0047653B"/>
    <w:rsid w:val="00476760"/>
    <w:rsid w:val="00477232"/>
    <w:rsid w:val="004773F4"/>
    <w:rsid w:val="00477963"/>
    <w:rsid w:val="00477F66"/>
    <w:rsid w:val="004802F1"/>
    <w:rsid w:val="00480E25"/>
    <w:rsid w:val="00481392"/>
    <w:rsid w:val="00482016"/>
    <w:rsid w:val="004829E9"/>
    <w:rsid w:val="00482B01"/>
    <w:rsid w:val="00483580"/>
    <w:rsid w:val="004836D9"/>
    <w:rsid w:val="0048382F"/>
    <w:rsid w:val="00483C2F"/>
    <w:rsid w:val="0048446F"/>
    <w:rsid w:val="004844E7"/>
    <w:rsid w:val="004845BD"/>
    <w:rsid w:val="004847C2"/>
    <w:rsid w:val="00484802"/>
    <w:rsid w:val="00484BEF"/>
    <w:rsid w:val="0048511B"/>
    <w:rsid w:val="0048523E"/>
    <w:rsid w:val="0048601B"/>
    <w:rsid w:val="0048687E"/>
    <w:rsid w:val="00486E7E"/>
    <w:rsid w:val="00487601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3B1D"/>
    <w:rsid w:val="00495E42"/>
    <w:rsid w:val="0049616C"/>
    <w:rsid w:val="00496252"/>
    <w:rsid w:val="00497110"/>
    <w:rsid w:val="00497113"/>
    <w:rsid w:val="00497866"/>
    <w:rsid w:val="004A034C"/>
    <w:rsid w:val="004A061E"/>
    <w:rsid w:val="004A0C98"/>
    <w:rsid w:val="004A0C9B"/>
    <w:rsid w:val="004A1165"/>
    <w:rsid w:val="004A1A29"/>
    <w:rsid w:val="004A1E97"/>
    <w:rsid w:val="004A20AB"/>
    <w:rsid w:val="004A24A7"/>
    <w:rsid w:val="004A3063"/>
    <w:rsid w:val="004A402B"/>
    <w:rsid w:val="004A418A"/>
    <w:rsid w:val="004A4BC4"/>
    <w:rsid w:val="004A5024"/>
    <w:rsid w:val="004A61DD"/>
    <w:rsid w:val="004A626E"/>
    <w:rsid w:val="004A647C"/>
    <w:rsid w:val="004A6A18"/>
    <w:rsid w:val="004A6DD4"/>
    <w:rsid w:val="004A7AA7"/>
    <w:rsid w:val="004B024B"/>
    <w:rsid w:val="004B066C"/>
    <w:rsid w:val="004B0AA0"/>
    <w:rsid w:val="004B0AAA"/>
    <w:rsid w:val="004B0BCF"/>
    <w:rsid w:val="004B0CE3"/>
    <w:rsid w:val="004B135D"/>
    <w:rsid w:val="004B159E"/>
    <w:rsid w:val="004B17EA"/>
    <w:rsid w:val="004B1D0A"/>
    <w:rsid w:val="004B201B"/>
    <w:rsid w:val="004B336E"/>
    <w:rsid w:val="004B3824"/>
    <w:rsid w:val="004B3A8E"/>
    <w:rsid w:val="004B3EB8"/>
    <w:rsid w:val="004B4749"/>
    <w:rsid w:val="004B4AAC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4E32"/>
    <w:rsid w:val="004C4F42"/>
    <w:rsid w:val="004C58D0"/>
    <w:rsid w:val="004C58F7"/>
    <w:rsid w:val="004C5A81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5A"/>
    <w:rsid w:val="004D1B94"/>
    <w:rsid w:val="004D2A09"/>
    <w:rsid w:val="004D32E3"/>
    <w:rsid w:val="004D3483"/>
    <w:rsid w:val="004D418F"/>
    <w:rsid w:val="004D4AE6"/>
    <w:rsid w:val="004D4B93"/>
    <w:rsid w:val="004D4F57"/>
    <w:rsid w:val="004D588F"/>
    <w:rsid w:val="004D66BB"/>
    <w:rsid w:val="004D6815"/>
    <w:rsid w:val="004D6F27"/>
    <w:rsid w:val="004D74C5"/>
    <w:rsid w:val="004D7857"/>
    <w:rsid w:val="004E0B91"/>
    <w:rsid w:val="004E132B"/>
    <w:rsid w:val="004E1643"/>
    <w:rsid w:val="004E1907"/>
    <w:rsid w:val="004E1956"/>
    <w:rsid w:val="004E1BC1"/>
    <w:rsid w:val="004E2128"/>
    <w:rsid w:val="004E21C4"/>
    <w:rsid w:val="004E273E"/>
    <w:rsid w:val="004E28E6"/>
    <w:rsid w:val="004E298B"/>
    <w:rsid w:val="004E299E"/>
    <w:rsid w:val="004E2D0B"/>
    <w:rsid w:val="004E33A2"/>
    <w:rsid w:val="004E3465"/>
    <w:rsid w:val="004E3498"/>
    <w:rsid w:val="004E35EF"/>
    <w:rsid w:val="004E381B"/>
    <w:rsid w:val="004E392E"/>
    <w:rsid w:val="004E483B"/>
    <w:rsid w:val="004E4B77"/>
    <w:rsid w:val="004E4D36"/>
    <w:rsid w:val="004E549E"/>
    <w:rsid w:val="004E5513"/>
    <w:rsid w:val="004E5610"/>
    <w:rsid w:val="004E5CF2"/>
    <w:rsid w:val="004E7492"/>
    <w:rsid w:val="004E7733"/>
    <w:rsid w:val="004E7C08"/>
    <w:rsid w:val="004F06BE"/>
    <w:rsid w:val="004F0839"/>
    <w:rsid w:val="004F0B8D"/>
    <w:rsid w:val="004F0C2F"/>
    <w:rsid w:val="004F0D2C"/>
    <w:rsid w:val="004F0D82"/>
    <w:rsid w:val="004F1876"/>
    <w:rsid w:val="004F21ED"/>
    <w:rsid w:val="004F2AA6"/>
    <w:rsid w:val="004F2D51"/>
    <w:rsid w:val="004F2F04"/>
    <w:rsid w:val="004F3D79"/>
    <w:rsid w:val="004F3DCC"/>
    <w:rsid w:val="004F45EC"/>
    <w:rsid w:val="004F5596"/>
    <w:rsid w:val="004F5985"/>
    <w:rsid w:val="004F6D83"/>
    <w:rsid w:val="004F732F"/>
    <w:rsid w:val="0050023C"/>
    <w:rsid w:val="00500426"/>
    <w:rsid w:val="0050050E"/>
    <w:rsid w:val="0050089A"/>
    <w:rsid w:val="00500A54"/>
    <w:rsid w:val="00500E3C"/>
    <w:rsid w:val="0050130A"/>
    <w:rsid w:val="00501C53"/>
    <w:rsid w:val="00501F0F"/>
    <w:rsid w:val="00502480"/>
    <w:rsid w:val="00502615"/>
    <w:rsid w:val="00502C9F"/>
    <w:rsid w:val="00503A62"/>
    <w:rsid w:val="00503CDF"/>
    <w:rsid w:val="005047CA"/>
    <w:rsid w:val="0050516C"/>
    <w:rsid w:val="00505B76"/>
    <w:rsid w:val="00506E90"/>
    <w:rsid w:val="00507219"/>
    <w:rsid w:val="0050798D"/>
    <w:rsid w:val="00507FE4"/>
    <w:rsid w:val="00510563"/>
    <w:rsid w:val="005108F1"/>
    <w:rsid w:val="0051101F"/>
    <w:rsid w:val="00511226"/>
    <w:rsid w:val="00511584"/>
    <w:rsid w:val="005128FF"/>
    <w:rsid w:val="00512A2A"/>
    <w:rsid w:val="00512ABB"/>
    <w:rsid w:val="00512F0D"/>
    <w:rsid w:val="0051385C"/>
    <w:rsid w:val="00513897"/>
    <w:rsid w:val="00513913"/>
    <w:rsid w:val="00514748"/>
    <w:rsid w:val="005147C0"/>
    <w:rsid w:val="00514BAF"/>
    <w:rsid w:val="0051517F"/>
    <w:rsid w:val="0051529E"/>
    <w:rsid w:val="00515695"/>
    <w:rsid w:val="00515AD9"/>
    <w:rsid w:val="0051666C"/>
    <w:rsid w:val="005168E3"/>
    <w:rsid w:val="00516EC3"/>
    <w:rsid w:val="0051707F"/>
    <w:rsid w:val="00517094"/>
    <w:rsid w:val="00517365"/>
    <w:rsid w:val="005173EC"/>
    <w:rsid w:val="00517B44"/>
    <w:rsid w:val="00517BCE"/>
    <w:rsid w:val="00517C73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1E"/>
    <w:rsid w:val="005256F6"/>
    <w:rsid w:val="005259BE"/>
    <w:rsid w:val="0052605B"/>
    <w:rsid w:val="005260AE"/>
    <w:rsid w:val="00526629"/>
    <w:rsid w:val="00526F8C"/>
    <w:rsid w:val="005270B0"/>
    <w:rsid w:val="005279A8"/>
    <w:rsid w:val="00527F8B"/>
    <w:rsid w:val="00530122"/>
    <w:rsid w:val="00530754"/>
    <w:rsid w:val="00530813"/>
    <w:rsid w:val="00530CD3"/>
    <w:rsid w:val="0053153D"/>
    <w:rsid w:val="0053177E"/>
    <w:rsid w:val="00531DC3"/>
    <w:rsid w:val="00532438"/>
    <w:rsid w:val="005329D6"/>
    <w:rsid w:val="00533958"/>
    <w:rsid w:val="00533980"/>
    <w:rsid w:val="00533ADE"/>
    <w:rsid w:val="0053424E"/>
    <w:rsid w:val="005348B3"/>
    <w:rsid w:val="0053520C"/>
    <w:rsid w:val="005354EE"/>
    <w:rsid w:val="00536677"/>
    <w:rsid w:val="00537089"/>
    <w:rsid w:val="005370D3"/>
    <w:rsid w:val="005404EA"/>
    <w:rsid w:val="0054080B"/>
    <w:rsid w:val="005416F4"/>
    <w:rsid w:val="0054296F"/>
    <w:rsid w:val="00544593"/>
    <w:rsid w:val="00544902"/>
    <w:rsid w:val="00544B99"/>
    <w:rsid w:val="005452F6"/>
    <w:rsid w:val="00545993"/>
    <w:rsid w:val="00545FEA"/>
    <w:rsid w:val="005478B0"/>
    <w:rsid w:val="005500BC"/>
    <w:rsid w:val="00551204"/>
    <w:rsid w:val="0055121B"/>
    <w:rsid w:val="005516C2"/>
    <w:rsid w:val="0055193A"/>
    <w:rsid w:val="00551F20"/>
    <w:rsid w:val="0055225E"/>
    <w:rsid w:val="005525D7"/>
    <w:rsid w:val="00552C99"/>
    <w:rsid w:val="00553281"/>
    <w:rsid w:val="0055372D"/>
    <w:rsid w:val="00554112"/>
    <w:rsid w:val="0055423B"/>
    <w:rsid w:val="005542F7"/>
    <w:rsid w:val="00554315"/>
    <w:rsid w:val="005546D3"/>
    <w:rsid w:val="005548E4"/>
    <w:rsid w:val="00554E01"/>
    <w:rsid w:val="00554F8E"/>
    <w:rsid w:val="0055507B"/>
    <w:rsid w:val="00555107"/>
    <w:rsid w:val="005552A3"/>
    <w:rsid w:val="00556103"/>
    <w:rsid w:val="0055628E"/>
    <w:rsid w:val="00557530"/>
    <w:rsid w:val="00557E43"/>
    <w:rsid w:val="0056002D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6F3D"/>
    <w:rsid w:val="005674EB"/>
    <w:rsid w:val="005675D4"/>
    <w:rsid w:val="00567DA4"/>
    <w:rsid w:val="00567FDE"/>
    <w:rsid w:val="00571120"/>
    <w:rsid w:val="00571412"/>
    <w:rsid w:val="00571EB2"/>
    <w:rsid w:val="00572591"/>
    <w:rsid w:val="005728E0"/>
    <w:rsid w:val="00573A55"/>
    <w:rsid w:val="00574A37"/>
    <w:rsid w:val="00574AEA"/>
    <w:rsid w:val="005756EC"/>
    <w:rsid w:val="0057612C"/>
    <w:rsid w:val="0057637C"/>
    <w:rsid w:val="005765C4"/>
    <w:rsid w:val="00576BA0"/>
    <w:rsid w:val="0057761D"/>
    <w:rsid w:val="00577FD0"/>
    <w:rsid w:val="00581223"/>
    <w:rsid w:val="00581285"/>
    <w:rsid w:val="005815D6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5B13"/>
    <w:rsid w:val="00586A69"/>
    <w:rsid w:val="00586AAA"/>
    <w:rsid w:val="00587307"/>
    <w:rsid w:val="00587754"/>
    <w:rsid w:val="00590281"/>
    <w:rsid w:val="0059028D"/>
    <w:rsid w:val="0059065F"/>
    <w:rsid w:val="00590B7C"/>
    <w:rsid w:val="00591553"/>
    <w:rsid w:val="0059231B"/>
    <w:rsid w:val="00592506"/>
    <w:rsid w:val="0059256A"/>
    <w:rsid w:val="005932A9"/>
    <w:rsid w:val="00593357"/>
    <w:rsid w:val="00594759"/>
    <w:rsid w:val="00594CBE"/>
    <w:rsid w:val="00594F1F"/>
    <w:rsid w:val="00595009"/>
    <w:rsid w:val="0059507A"/>
    <w:rsid w:val="0059526B"/>
    <w:rsid w:val="00595AB7"/>
    <w:rsid w:val="005964C1"/>
    <w:rsid w:val="005964EC"/>
    <w:rsid w:val="00596614"/>
    <w:rsid w:val="00596970"/>
    <w:rsid w:val="00596F4D"/>
    <w:rsid w:val="00597FAC"/>
    <w:rsid w:val="005A0764"/>
    <w:rsid w:val="005A0CF9"/>
    <w:rsid w:val="005A0EE6"/>
    <w:rsid w:val="005A1604"/>
    <w:rsid w:val="005A1AF1"/>
    <w:rsid w:val="005A1E42"/>
    <w:rsid w:val="005A240E"/>
    <w:rsid w:val="005A2677"/>
    <w:rsid w:val="005A271E"/>
    <w:rsid w:val="005A2B48"/>
    <w:rsid w:val="005A2D3F"/>
    <w:rsid w:val="005A3484"/>
    <w:rsid w:val="005A3B36"/>
    <w:rsid w:val="005A4533"/>
    <w:rsid w:val="005A4A49"/>
    <w:rsid w:val="005A543E"/>
    <w:rsid w:val="005A63D1"/>
    <w:rsid w:val="005A65D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3A94"/>
    <w:rsid w:val="005B45E1"/>
    <w:rsid w:val="005B512A"/>
    <w:rsid w:val="005B5584"/>
    <w:rsid w:val="005B56A5"/>
    <w:rsid w:val="005B5A75"/>
    <w:rsid w:val="005B5E30"/>
    <w:rsid w:val="005B65F1"/>
    <w:rsid w:val="005B69DF"/>
    <w:rsid w:val="005B6FB8"/>
    <w:rsid w:val="005B7301"/>
    <w:rsid w:val="005B7F11"/>
    <w:rsid w:val="005C00AC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29A4"/>
    <w:rsid w:val="005C3046"/>
    <w:rsid w:val="005C3CE2"/>
    <w:rsid w:val="005C4209"/>
    <w:rsid w:val="005C4605"/>
    <w:rsid w:val="005C46FB"/>
    <w:rsid w:val="005C4A0E"/>
    <w:rsid w:val="005C4A74"/>
    <w:rsid w:val="005C4E96"/>
    <w:rsid w:val="005C53DE"/>
    <w:rsid w:val="005C5C44"/>
    <w:rsid w:val="005C63FB"/>
    <w:rsid w:val="005C63FC"/>
    <w:rsid w:val="005C6752"/>
    <w:rsid w:val="005C68DF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23C"/>
    <w:rsid w:val="005D1322"/>
    <w:rsid w:val="005D179E"/>
    <w:rsid w:val="005D205B"/>
    <w:rsid w:val="005D21CE"/>
    <w:rsid w:val="005D2BB2"/>
    <w:rsid w:val="005D2C1F"/>
    <w:rsid w:val="005D3824"/>
    <w:rsid w:val="005D3BE5"/>
    <w:rsid w:val="005D4182"/>
    <w:rsid w:val="005D42CD"/>
    <w:rsid w:val="005D5E25"/>
    <w:rsid w:val="005D6187"/>
    <w:rsid w:val="005D6CDA"/>
    <w:rsid w:val="005D6F9E"/>
    <w:rsid w:val="005D6FD4"/>
    <w:rsid w:val="005D7121"/>
    <w:rsid w:val="005D7D18"/>
    <w:rsid w:val="005D7DAF"/>
    <w:rsid w:val="005E057A"/>
    <w:rsid w:val="005E0909"/>
    <w:rsid w:val="005E0981"/>
    <w:rsid w:val="005E0DD4"/>
    <w:rsid w:val="005E0E76"/>
    <w:rsid w:val="005E1768"/>
    <w:rsid w:val="005E1F4B"/>
    <w:rsid w:val="005E222B"/>
    <w:rsid w:val="005E2432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B81"/>
    <w:rsid w:val="005E6D0C"/>
    <w:rsid w:val="005E7A22"/>
    <w:rsid w:val="005E7EB8"/>
    <w:rsid w:val="005F0804"/>
    <w:rsid w:val="005F0A19"/>
    <w:rsid w:val="005F10A6"/>
    <w:rsid w:val="005F194D"/>
    <w:rsid w:val="005F1C2E"/>
    <w:rsid w:val="005F21CC"/>
    <w:rsid w:val="005F2BEA"/>
    <w:rsid w:val="005F30C7"/>
    <w:rsid w:val="005F3D45"/>
    <w:rsid w:val="005F46FD"/>
    <w:rsid w:val="005F5335"/>
    <w:rsid w:val="005F5731"/>
    <w:rsid w:val="005F5CE3"/>
    <w:rsid w:val="005F6067"/>
    <w:rsid w:val="005F6734"/>
    <w:rsid w:val="005F6E37"/>
    <w:rsid w:val="005F7555"/>
    <w:rsid w:val="005F7F8E"/>
    <w:rsid w:val="005F7FBA"/>
    <w:rsid w:val="00600136"/>
    <w:rsid w:val="006002A5"/>
    <w:rsid w:val="00600370"/>
    <w:rsid w:val="00600663"/>
    <w:rsid w:val="006007E6"/>
    <w:rsid w:val="00600907"/>
    <w:rsid w:val="00600D63"/>
    <w:rsid w:val="006016E5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6F2A"/>
    <w:rsid w:val="00607C86"/>
    <w:rsid w:val="00610234"/>
    <w:rsid w:val="006103EE"/>
    <w:rsid w:val="00610659"/>
    <w:rsid w:val="00610EC1"/>
    <w:rsid w:val="006110D0"/>
    <w:rsid w:val="006110F6"/>
    <w:rsid w:val="00611A8F"/>
    <w:rsid w:val="00612100"/>
    <w:rsid w:val="0061240F"/>
    <w:rsid w:val="006127D9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2B4"/>
    <w:rsid w:val="00617F61"/>
    <w:rsid w:val="006201D0"/>
    <w:rsid w:val="00620B74"/>
    <w:rsid w:val="006211F5"/>
    <w:rsid w:val="0062125D"/>
    <w:rsid w:val="00621952"/>
    <w:rsid w:val="00621B21"/>
    <w:rsid w:val="006222D9"/>
    <w:rsid w:val="006222DA"/>
    <w:rsid w:val="00622503"/>
    <w:rsid w:val="006226C8"/>
    <w:rsid w:val="00622EE6"/>
    <w:rsid w:val="00623578"/>
    <w:rsid w:val="006243B2"/>
    <w:rsid w:val="00624CFC"/>
    <w:rsid w:val="00624D00"/>
    <w:rsid w:val="00624DF7"/>
    <w:rsid w:val="00624F03"/>
    <w:rsid w:val="006256A7"/>
    <w:rsid w:val="006263AC"/>
    <w:rsid w:val="00627309"/>
    <w:rsid w:val="006274EC"/>
    <w:rsid w:val="00627A48"/>
    <w:rsid w:val="00627BBA"/>
    <w:rsid w:val="00631578"/>
    <w:rsid w:val="0063191F"/>
    <w:rsid w:val="00631B62"/>
    <w:rsid w:val="0063232D"/>
    <w:rsid w:val="00632FA3"/>
    <w:rsid w:val="006332E4"/>
    <w:rsid w:val="006335FB"/>
    <w:rsid w:val="00633631"/>
    <w:rsid w:val="00633BD8"/>
    <w:rsid w:val="0063462B"/>
    <w:rsid w:val="00634C37"/>
    <w:rsid w:val="0063539F"/>
    <w:rsid w:val="00635647"/>
    <w:rsid w:val="00635898"/>
    <w:rsid w:val="0063624E"/>
    <w:rsid w:val="006367D5"/>
    <w:rsid w:val="00636975"/>
    <w:rsid w:val="00636B26"/>
    <w:rsid w:val="006378BA"/>
    <w:rsid w:val="00637904"/>
    <w:rsid w:val="00637AA7"/>
    <w:rsid w:val="00640A9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694"/>
    <w:rsid w:val="00645703"/>
    <w:rsid w:val="00645D28"/>
    <w:rsid w:val="00645D8B"/>
    <w:rsid w:val="00645E61"/>
    <w:rsid w:val="006460B2"/>
    <w:rsid w:val="0064674A"/>
    <w:rsid w:val="00646A59"/>
    <w:rsid w:val="00647508"/>
    <w:rsid w:val="00647A12"/>
    <w:rsid w:val="00647E39"/>
    <w:rsid w:val="0065093C"/>
    <w:rsid w:val="00651AA1"/>
    <w:rsid w:val="00651C04"/>
    <w:rsid w:val="00651D62"/>
    <w:rsid w:val="00652BE5"/>
    <w:rsid w:val="00653629"/>
    <w:rsid w:val="00653BA6"/>
    <w:rsid w:val="00653C8B"/>
    <w:rsid w:val="00653F3A"/>
    <w:rsid w:val="006541A6"/>
    <w:rsid w:val="006542C2"/>
    <w:rsid w:val="0065440C"/>
    <w:rsid w:val="00654619"/>
    <w:rsid w:val="00654BBF"/>
    <w:rsid w:val="0065596E"/>
    <w:rsid w:val="00655DD9"/>
    <w:rsid w:val="00656842"/>
    <w:rsid w:val="00656934"/>
    <w:rsid w:val="0065754F"/>
    <w:rsid w:val="006575AF"/>
    <w:rsid w:val="00657BCD"/>
    <w:rsid w:val="00657C31"/>
    <w:rsid w:val="0066035C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10D"/>
    <w:rsid w:val="00667DC6"/>
    <w:rsid w:val="00670C9D"/>
    <w:rsid w:val="00671D1C"/>
    <w:rsid w:val="00672629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E6F"/>
    <w:rsid w:val="00680F53"/>
    <w:rsid w:val="0068110E"/>
    <w:rsid w:val="0068114B"/>
    <w:rsid w:val="00681644"/>
    <w:rsid w:val="00682B8D"/>
    <w:rsid w:val="00682BE1"/>
    <w:rsid w:val="00682F74"/>
    <w:rsid w:val="006832F1"/>
    <w:rsid w:val="00683B3C"/>
    <w:rsid w:val="00683CC8"/>
    <w:rsid w:val="00683DB7"/>
    <w:rsid w:val="006849E3"/>
    <w:rsid w:val="0068532C"/>
    <w:rsid w:val="00685F4C"/>
    <w:rsid w:val="00686681"/>
    <w:rsid w:val="00686E4F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95"/>
    <w:rsid w:val="006978C8"/>
    <w:rsid w:val="006979F7"/>
    <w:rsid w:val="00697A2F"/>
    <w:rsid w:val="00697E2A"/>
    <w:rsid w:val="006A0C15"/>
    <w:rsid w:val="006A1A3F"/>
    <w:rsid w:val="006A1D6B"/>
    <w:rsid w:val="006A1F32"/>
    <w:rsid w:val="006A1F3C"/>
    <w:rsid w:val="006A34B2"/>
    <w:rsid w:val="006A3865"/>
    <w:rsid w:val="006A3F62"/>
    <w:rsid w:val="006A4148"/>
    <w:rsid w:val="006A4569"/>
    <w:rsid w:val="006A4732"/>
    <w:rsid w:val="006A52D2"/>
    <w:rsid w:val="006A52DB"/>
    <w:rsid w:val="006A530F"/>
    <w:rsid w:val="006A53A7"/>
    <w:rsid w:val="006A540D"/>
    <w:rsid w:val="006A5D37"/>
    <w:rsid w:val="006A5D9D"/>
    <w:rsid w:val="006A6A5E"/>
    <w:rsid w:val="006A6FAF"/>
    <w:rsid w:val="006A6FEF"/>
    <w:rsid w:val="006A7144"/>
    <w:rsid w:val="006A7CCD"/>
    <w:rsid w:val="006B0000"/>
    <w:rsid w:val="006B11AE"/>
    <w:rsid w:val="006B13AE"/>
    <w:rsid w:val="006B153E"/>
    <w:rsid w:val="006B155E"/>
    <w:rsid w:val="006B20B3"/>
    <w:rsid w:val="006B31DA"/>
    <w:rsid w:val="006B38D9"/>
    <w:rsid w:val="006B3C2E"/>
    <w:rsid w:val="006B3EC5"/>
    <w:rsid w:val="006B4009"/>
    <w:rsid w:val="006B42DA"/>
    <w:rsid w:val="006B43CA"/>
    <w:rsid w:val="006B44FA"/>
    <w:rsid w:val="006B4C4D"/>
    <w:rsid w:val="006B51EE"/>
    <w:rsid w:val="006B5768"/>
    <w:rsid w:val="006B58DA"/>
    <w:rsid w:val="006B598E"/>
    <w:rsid w:val="006B5D05"/>
    <w:rsid w:val="006B6B96"/>
    <w:rsid w:val="006B7035"/>
    <w:rsid w:val="006C03D4"/>
    <w:rsid w:val="006C0545"/>
    <w:rsid w:val="006C0798"/>
    <w:rsid w:val="006C0F3F"/>
    <w:rsid w:val="006C11FB"/>
    <w:rsid w:val="006C1651"/>
    <w:rsid w:val="006C18BD"/>
    <w:rsid w:val="006C1A69"/>
    <w:rsid w:val="006C1AE9"/>
    <w:rsid w:val="006C1BFF"/>
    <w:rsid w:val="006C2319"/>
    <w:rsid w:val="006C252F"/>
    <w:rsid w:val="006C32EC"/>
    <w:rsid w:val="006C3878"/>
    <w:rsid w:val="006C38B4"/>
    <w:rsid w:val="006C3ABF"/>
    <w:rsid w:val="006C3BA6"/>
    <w:rsid w:val="006C3CFB"/>
    <w:rsid w:val="006C422E"/>
    <w:rsid w:val="006C42B3"/>
    <w:rsid w:val="006C49B4"/>
    <w:rsid w:val="006C52E5"/>
    <w:rsid w:val="006C56C2"/>
    <w:rsid w:val="006C57B9"/>
    <w:rsid w:val="006C5C44"/>
    <w:rsid w:val="006C5E04"/>
    <w:rsid w:val="006C623C"/>
    <w:rsid w:val="006C6396"/>
    <w:rsid w:val="006C6A52"/>
    <w:rsid w:val="006C7077"/>
    <w:rsid w:val="006C7847"/>
    <w:rsid w:val="006D0EF8"/>
    <w:rsid w:val="006D19EA"/>
    <w:rsid w:val="006D1ABF"/>
    <w:rsid w:val="006D1D20"/>
    <w:rsid w:val="006D203B"/>
    <w:rsid w:val="006D27C4"/>
    <w:rsid w:val="006D2A6D"/>
    <w:rsid w:val="006D2D5B"/>
    <w:rsid w:val="006D30F7"/>
    <w:rsid w:val="006D44EF"/>
    <w:rsid w:val="006D4B29"/>
    <w:rsid w:val="006D4B45"/>
    <w:rsid w:val="006D5070"/>
    <w:rsid w:val="006D6B8C"/>
    <w:rsid w:val="006D6CEE"/>
    <w:rsid w:val="006E03EE"/>
    <w:rsid w:val="006E07E8"/>
    <w:rsid w:val="006E1E93"/>
    <w:rsid w:val="006E2812"/>
    <w:rsid w:val="006E2E25"/>
    <w:rsid w:val="006E3F7C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C1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601"/>
    <w:rsid w:val="006F37DE"/>
    <w:rsid w:val="006F37F7"/>
    <w:rsid w:val="006F39FE"/>
    <w:rsid w:val="006F4691"/>
    <w:rsid w:val="006F4887"/>
    <w:rsid w:val="006F49C4"/>
    <w:rsid w:val="006F4A78"/>
    <w:rsid w:val="006F4A9C"/>
    <w:rsid w:val="006F4B07"/>
    <w:rsid w:val="006F5AF7"/>
    <w:rsid w:val="006F66EE"/>
    <w:rsid w:val="006F69A4"/>
    <w:rsid w:val="006F6A6A"/>
    <w:rsid w:val="006F7012"/>
    <w:rsid w:val="006F7403"/>
    <w:rsid w:val="006F78A9"/>
    <w:rsid w:val="006F7C52"/>
    <w:rsid w:val="00700622"/>
    <w:rsid w:val="00700A1B"/>
    <w:rsid w:val="0070146E"/>
    <w:rsid w:val="00701B02"/>
    <w:rsid w:val="00701B7B"/>
    <w:rsid w:val="007026E5"/>
    <w:rsid w:val="00702783"/>
    <w:rsid w:val="00703315"/>
    <w:rsid w:val="00703460"/>
    <w:rsid w:val="00703863"/>
    <w:rsid w:val="0070397C"/>
    <w:rsid w:val="00704487"/>
    <w:rsid w:val="00704618"/>
    <w:rsid w:val="00704846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0BD2"/>
    <w:rsid w:val="007110A8"/>
    <w:rsid w:val="00711408"/>
    <w:rsid w:val="00712D03"/>
    <w:rsid w:val="00712E71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07E9"/>
    <w:rsid w:val="007216CD"/>
    <w:rsid w:val="00721E42"/>
    <w:rsid w:val="00721F7C"/>
    <w:rsid w:val="00722A49"/>
    <w:rsid w:val="007230EC"/>
    <w:rsid w:val="007237C5"/>
    <w:rsid w:val="00723A5D"/>
    <w:rsid w:val="007245F8"/>
    <w:rsid w:val="0072468D"/>
    <w:rsid w:val="00724697"/>
    <w:rsid w:val="00724ABD"/>
    <w:rsid w:val="00724F50"/>
    <w:rsid w:val="00724FB2"/>
    <w:rsid w:val="00725771"/>
    <w:rsid w:val="00725EBC"/>
    <w:rsid w:val="00726EF0"/>
    <w:rsid w:val="007270BC"/>
    <w:rsid w:val="007275C4"/>
    <w:rsid w:val="007303CE"/>
    <w:rsid w:val="007309B7"/>
    <w:rsid w:val="00730B06"/>
    <w:rsid w:val="00730F3A"/>
    <w:rsid w:val="007310C8"/>
    <w:rsid w:val="00731487"/>
    <w:rsid w:val="0073148A"/>
    <w:rsid w:val="00731DEE"/>
    <w:rsid w:val="007333DA"/>
    <w:rsid w:val="00733404"/>
    <w:rsid w:val="0073394C"/>
    <w:rsid w:val="007345D0"/>
    <w:rsid w:val="00734857"/>
    <w:rsid w:val="00734D18"/>
    <w:rsid w:val="0073548B"/>
    <w:rsid w:val="0073606F"/>
    <w:rsid w:val="007365A8"/>
    <w:rsid w:val="007373A4"/>
    <w:rsid w:val="00737D27"/>
    <w:rsid w:val="00740276"/>
    <w:rsid w:val="007408E7"/>
    <w:rsid w:val="007409FA"/>
    <w:rsid w:val="00740FC4"/>
    <w:rsid w:val="007413AD"/>
    <w:rsid w:val="00742181"/>
    <w:rsid w:val="00742777"/>
    <w:rsid w:val="0074280C"/>
    <w:rsid w:val="00742892"/>
    <w:rsid w:val="0074301A"/>
    <w:rsid w:val="00743C03"/>
    <w:rsid w:val="0074483A"/>
    <w:rsid w:val="00744910"/>
    <w:rsid w:val="00744E28"/>
    <w:rsid w:val="00745E02"/>
    <w:rsid w:val="0074634B"/>
    <w:rsid w:val="007466B1"/>
    <w:rsid w:val="00746789"/>
    <w:rsid w:val="007468D9"/>
    <w:rsid w:val="0074695A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1C18"/>
    <w:rsid w:val="00751D41"/>
    <w:rsid w:val="00751F95"/>
    <w:rsid w:val="007522FD"/>
    <w:rsid w:val="00752D9D"/>
    <w:rsid w:val="00752E9F"/>
    <w:rsid w:val="00754046"/>
    <w:rsid w:val="00754240"/>
    <w:rsid w:val="00754902"/>
    <w:rsid w:val="007568AE"/>
    <w:rsid w:val="007570CA"/>
    <w:rsid w:val="00757573"/>
    <w:rsid w:val="00757B1C"/>
    <w:rsid w:val="00757E6E"/>
    <w:rsid w:val="00757F51"/>
    <w:rsid w:val="00760F24"/>
    <w:rsid w:val="0076114B"/>
    <w:rsid w:val="00761503"/>
    <w:rsid w:val="00761DE0"/>
    <w:rsid w:val="00761EBB"/>
    <w:rsid w:val="00762FF1"/>
    <w:rsid w:val="00763037"/>
    <w:rsid w:val="007633DD"/>
    <w:rsid w:val="00763676"/>
    <w:rsid w:val="00763807"/>
    <w:rsid w:val="00763B2B"/>
    <w:rsid w:val="00763B2F"/>
    <w:rsid w:val="007647E4"/>
    <w:rsid w:val="00765BAB"/>
    <w:rsid w:val="00766235"/>
    <w:rsid w:val="007666F3"/>
    <w:rsid w:val="007672FD"/>
    <w:rsid w:val="00767559"/>
    <w:rsid w:val="00767E17"/>
    <w:rsid w:val="007701DC"/>
    <w:rsid w:val="00770842"/>
    <w:rsid w:val="00770F81"/>
    <w:rsid w:val="00771250"/>
    <w:rsid w:val="0077182B"/>
    <w:rsid w:val="0077183C"/>
    <w:rsid w:val="00771A89"/>
    <w:rsid w:val="00771EC4"/>
    <w:rsid w:val="00773164"/>
    <w:rsid w:val="00773541"/>
    <w:rsid w:val="007735CB"/>
    <w:rsid w:val="00773D58"/>
    <w:rsid w:val="00774932"/>
    <w:rsid w:val="0077496E"/>
    <w:rsid w:val="00774CC7"/>
    <w:rsid w:val="00774EAF"/>
    <w:rsid w:val="007757E3"/>
    <w:rsid w:val="00775819"/>
    <w:rsid w:val="00775A93"/>
    <w:rsid w:val="00775BB2"/>
    <w:rsid w:val="00776919"/>
    <w:rsid w:val="00777273"/>
    <w:rsid w:val="00777429"/>
    <w:rsid w:val="00777905"/>
    <w:rsid w:val="00777A73"/>
    <w:rsid w:val="00780090"/>
    <w:rsid w:val="007802FF"/>
    <w:rsid w:val="00780B47"/>
    <w:rsid w:val="00781CB4"/>
    <w:rsid w:val="00781FD6"/>
    <w:rsid w:val="007830A0"/>
    <w:rsid w:val="00783CEB"/>
    <w:rsid w:val="00784535"/>
    <w:rsid w:val="00784771"/>
    <w:rsid w:val="0078490E"/>
    <w:rsid w:val="00785098"/>
    <w:rsid w:val="007851E7"/>
    <w:rsid w:val="00786979"/>
    <w:rsid w:val="00786B34"/>
    <w:rsid w:val="00786E76"/>
    <w:rsid w:val="00787134"/>
    <w:rsid w:val="007879E7"/>
    <w:rsid w:val="00787D61"/>
    <w:rsid w:val="0079002F"/>
    <w:rsid w:val="007909A5"/>
    <w:rsid w:val="00791E89"/>
    <w:rsid w:val="007925D2"/>
    <w:rsid w:val="00792C40"/>
    <w:rsid w:val="00792E6C"/>
    <w:rsid w:val="00793A8D"/>
    <w:rsid w:val="00793DE0"/>
    <w:rsid w:val="00794149"/>
    <w:rsid w:val="00794170"/>
    <w:rsid w:val="0079422B"/>
    <w:rsid w:val="007944B5"/>
    <w:rsid w:val="0079531F"/>
    <w:rsid w:val="007954B1"/>
    <w:rsid w:val="007958C4"/>
    <w:rsid w:val="00795C09"/>
    <w:rsid w:val="007963B5"/>
    <w:rsid w:val="00796EE9"/>
    <w:rsid w:val="00797417"/>
    <w:rsid w:val="007A0781"/>
    <w:rsid w:val="007A0A3A"/>
    <w:rsid w:val="007A0CBA"/>
    <w:rsid w:val="007A0D22"/>
    <w:rsid w:val="007A0E0E"/>
    <w:rsid w:val="007A15A7"/>
    <w:rsid w:val="007A1AF2"/>
    <w:rsid w:val="007A1D9D"/>
    <w:rsid w:val="007A2D71"/>
    <w:rsid w:val="007A374B"/>
    <w:rsid w:val="007A3A45"/>
    <w:rsid w:val="007A406B"/>
    <w:rsid w:val="007A4913"/>
    <w:rsid w:val="007A5000"/>
    <w:rsid w:val="007A527F"/>
    <w:rsid w:val="007A528E"/>
    <w:rsid w:val="007A52BC"/>
    <w:rsid w:val="007A540E"/>
    <w:rsid w:val="007A5D21"/>
    <w:rsid w:val="007A62AF"/>
    <w:rsid w:val="007A6BFE"/>
    <w:rsid w:val="007A731B"/>
    <w:rsid w:val="007A76FE"/>
    <w:rsid w:val="007A7737"/>
    <w:rsid w:val="007B093B"/>
    <w:rsid w:val="007B0DFD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4D"/>
    <w:rsid w:val="007B5DB8"/>
    <w:rsid w:val="007B6042"/>
    <w:rsid w:val="007B622F"/>
    <w:rsid w:val="007B63D9"/>
    <w:rsid w:val="007B6978"/>
    <w:rsid w:val="007B6B9D"/>
    <w:rsid w:val="007B752D"/>
    <w:rsid w:val="007B7548"/>
    <w:rsid w:val="007B75A1"/>
    <w:rsid w:val="007B7B43"/>
    <w:rsid w:val="007C0130"/>
    <w:rsid w:val="007C051C"/>
    <w:rsid w:val="007C09EE"/>
    <w:rsid w:val="007C16B6"/>
    <w:rsid w:val="007C18D3"/>
    <w:rsid w:val="007C1A53"/>
    <w:rsid w:val="007C1A5F"/>
    <w:rsid w:val="007C1C33"/>
    <w:rsid w:val="007C1EE8"/>
    <w:rsid w:val="007C30A7"/>
    <w:rsid w:val="007C326E"/>
    <w:rsid w:val="007C352B"/>
    <w:rsid w:val="007C3869"/>
    <w:rsid w:val="007C3985"/>
    <w:rsid w:val="007C3A33"/>
    <w:rsid w:val="007C43DD"/>
    <w:rsid w:val="007C5064"/>
    <w:rsid w:val="007C56E9"/>
    <w:rsid w:val="007C5A76"/>
    <w:rsid w:val="007C6E03"/>
    <w:rsid w:val="007C72B5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5D4"/>
    <w:rsid w:val="007D38FD"/>
    <w:rsid w:val="007D3EE0"/>
    <w:rsid w:val="007D464D"/>
    <w:rsid w:val="007D49C8"/>
    <w:rsid w:val="007D4CFD"/>
    <w:rsid w:val="007D508D"/>
    <w:rsid w:val="007D56CC"/>
    <w:rsid w:val="007D6647"/>
    <w:rsid w:val="007D775A"/>
    <w:rsid w:val="007D78DB"/>
    <w:rsid w:val="007D7BB9"/>
    <w:rsid w:val="007D7E64"/>
    <w:rsid w:val="007E030A"/>
    <w:rsid w:val="007E0457"/>
    <w:rsid w:val="007E0AC4"/>
    <w:rsid w:val="007E0C55"/>
    <w:rsid w:val="007E0E36"/>
    <w:rsid w:val="007E1CF2"/>
    <w:rsid w:val="007E246A"/>
    <w:rsid w:val="007E2FAB"/>
    <w:rsid w:val="007E3286"/>
    <w:rsid w:val="007E3903"/>
    <w:rsid w:val="007E3BA0"/>
    <w:rsid w:val="007E3BDE"/>
    <w:rsid w:val="007E51F8"/>
    <w:rsid w:val="007E636B"/>
    <w:rsid w:val="007E7069"/>
    <w:rsid w:val="007E741C"/>
    <w:rsid w:val="007F0784"/>
    <w:rsid w:val="007F0C07"/>
    <w:rsid w:val="007F14CD"/>
    <w:rsid w:val="007F1CF6"/>
    <w:rsid w:val="007F225A"/>
    <w:rsid w:val="007F258E"/>
    <w:rsid w:val="007F264B"/>
    <w:rsid w:val="007F2F0B"/>
    <w:rsid w:val="007F427E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9E"/>
    <w:rsid w:val="007F74F6"/>
    <w:rsid w:val="007F75CC"/>
    <w:rsid w:val="007F7729"/>
    <w:rsid w:val="007F7AE6"/>
    <w:rsid w:val="007F7BB2"/>
    <w:rsid w:val="0080011B"/>
    <w:rsid w:val="008004A0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760"/>
    <w:rsid w:val="00804A05"/>
    <w:rsid w:val="00804CCB"/>
    <w:rsid w:val="00805344"/>
    <w:rsid w:val="0080566F"/>
    <w:rsid w:val="008057C5"/>
    <w:rsid w:val="00805CED"/>
    <w:rsid w:val="00806179"/>
    <w:rsid w:val="00806B95"/>
    <w:rsid w:val="00806E94"/>
    <w:rsid w:val="008071FE"/>
    <w:rsid w:val="0080741E"/>
    <w:rsid w:val="00807FBB"/>
    <w:rsid w:val="008107CF"/>
    <w:rsid w:val="0081185A"/>
    <w:rsid w:val="00811867"/>
    <w:rsid w:val="00811E1C"/>
    <w:rsid w:val="00811E70"/>
    <w:rsid w:val="00812239"/>
    <w:rsid w:val="00812265"/>
    <w:rsid w:val="00812417"/>
    <w:rsid w:val="0081259E"/>
    <w:rsid w:val="00812C00"/>
    <w:rsid w:val="00813180"/>
    <w:rsid w:val="00813556"/>
    <w:rsid w:val="0081377D"/>
    <w:rsid w:val="00814150"/>
    <w:rsid w:val="0081417B"/>
    <w:rsid w:val="00814403"/>
    <w:rsid w:val="00814AF8"/>
    <w:rsid w:val="00815515"/>
    <w:rsid w:val="008166BE"/>
    <w:rsid w:val="008170B3"/>
    <w:rsid w:val="0081713D"/>
    <w:rsid w:val="00817513"/>
    <w:rsid w:val="008175D6"/>
    <w:rsid w:val="008177EA"/>
    <w:rsid w:val="00817F31"/>
    <w:rsid w:val="0082088B"/>
    <w:rsid w:val="00820D10"/>
    <w:rsid w:val="00820D80"/>
    <w:rsid w:val="008212A3"/>
    <w:rsid w:val="0082176E"/>
    <w:rsid w:val="00821925"/>
    <w:rsid w:val="008219FC"/>
    <w:rsid w:val="00822849"/>
    <w:rsid w:val="008233F4"/>
    <w:rsid w:val="00823A69"/>
    <w:rsid w:val="008242F6"/>
    <w:rsid w:val="008243F9"/>
    <w:rsid w:val="008247B7"/>
    <w:rsid w:val="008250AF"/>
    <w:rsid w:val="00825357"/>
    <w:rsid w:val="00825C89"/>
    <w:rsid w:val="00826699"/>
    <w:rsid w:val="008275B1"/>
    <w:rsid w:val="008278C7"/>
    <w:rsid w:val="008310C7"/>
    <w:rsid w:val="0083136D"/>
    <w:rsid w:val="00831F43"/>
    <w:rsid w:val="00832EAC"/>
    <w:rsid w:val="00832F8C"/>
    <w:rsid w:val="0083330C"/>
    <w:rsid w:val="00833389"/>
    <w:rsid w:val="008335BD"/>
    <w:rsid w:val="0083389D"/>
    <w:rsid w:val="00833B14"/>
    <w:rsid w:val="00834A9C"/>
    <w:rsid w:val="00834CD2"/>
    <w:rsid w:val="00834EFD"/>
    <w:rsid w:val="0083500D"/>
    <w:rsid w:val="0083591B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317"/>
    <w:rsid w:val="00837F3E"/>
    <w:rsid w:val="008404D1"/>
    <w:rsid w:val="00840F52"/>
    <w:rsid w:val="00840FAC"/>
    <w:rsid w:val="00840FD1"/>
    <w:rsid w:val="0084118A"/>
    <w:rsid w:val="0084159F"/>
    <w:rsid w:val="00841886"/>
    <w:rsid w:val="008423C2"/>
    <w:rsid w:val="0084270D"/>
    <w:rsid w:val="008429A1"/>
    <w:rsid w:val="00843249"/>
    <w:rsid w:val="00843724"/>
    <w:rsid w:val="00843B1F"/>
    <w:rsid w:val="00843BED"/>
    <w:rsid w:val="00844B35"/>
    <w:rsid w:val="00844BEF"/>
    <w:rsid w:val="00844D45"/>
    <w:rsid w:val="00845583"/>
    <w:rsid w:val="00845586"/>
    <w:rsid w:val="00846394"/>
    <w:rsid w:val="008467D5"/>
    <w:rsid w:val="00846807"/>
    <w:rsid w:val="0084681D"/>
    <w:rsid w:val="008469A0"/>
    <w:rsid w:val="00846AE2"/>
    <w:rsid w:val="00847C12"/>
    <w:rsid w:val="0085094E"/>
    <w:rsid w:val="00850ACA"/>
    <w:rsid w:val="00851642"/>
    <w:rsid w:val="0085211F"/>
    <w:rsid w:val="00853CF8"/>
    <w:rsid w:val="0085417D"/>
    <w:rsid w:val="008543E5"/>
    <w:rsid w:val="008544AB"/>
    <w:rsid w:val="00855116"/>
    <w:rsid w:val="008555F2"/>
    <w:rsid w:val="00855903"/>
    <w:rsid w:val="00855925"/>
    <w:rsid w:val="00855C87"/>
    <w:rsid w:val="00855FB2"/>
    <w:rsid w:val="00856ADB"/>
    <w:rsid w:val="00856B29"/>
    <w:rsid w:val="00856C25"/>
    <w:rsid w:val="00856CD6"/>
    <w:rsid w:val="00857EEA"/>
    <w:rsid w:val="008600BC"/>
    <w:rsid w:val="008606DA"/>
    <w:rsid w:val="00860D98"/>
    <w:rsid w:val="0086132C"/>
    <w:rsid w:val="008623C4"/>
    <w:rsid w:val="008626E1"/>
    <w:rsid w:val="00862D64"/>
    <w:rsid w:val="00863004"/>
    <w:rsid w:val="00863026"/>
    <w:rsid w:val="00863128"/>
    <w:rsid w:val="0086336C"/>
    <w:rsid w:val="0086373E"/>
    <w:rsid w:val="00863FBB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37D"/>
    <w:rsid w:val="00867545"/>
    <w:rsid w:val="008676A4"/>
    <w:rsid w:val="008678FB"/>
    <w:rsid w:val="00867909"/>
    <w:rsid w:val="00867E4A"/>
    <w:rsid w:val="00867ED4"/>
    <w:rsid w:val="008700AF"/>
    <w:rsid w:val="0087039E"/>
    <w:rsid w:val="008705CC"/>
    <w:rsid w:val="00870802"/>
    <w:rsid w:val="0087099C"/>
    <w:rsid w:val="00870C85"/>
    <w:rsid w:val="00870EB2"/>
    <w:rsid w:val="00871306"/>
    <w:rsid w:val="0087146F"/>
    <w:rsid w:val="00871794"/>
    <w:rsid w:val="00872640"/>
    <w:rsid w:val="00872D65"/>
    <w:rsid w:val="00873313"/>
    <w:rsid w:val="00873707"/>
    <w:rsid w:val="008737D7"/>
    <w:rsid w:val="008748D3"/>
    <w:rsid w:val="008749A8"/>
    <w:rsid w:val="00874F99"/>
    <w:rsid w:val="00875D0C"/>
    <w:rsid w:val="00875FD1"/>
    <w:rsid w:val="00876545"/>
    <w:rsid w:val="00876A15"/>
    <w:rsid w:val="00876F4B"/>
    <w:rsid w:val="0087758C"/>
    <w:rsid w:val="00877991"/>
    <w:rsid w:val="00877B99"/>
    <w:rsid w:val="00877CC1"/>
    <w:rsid w:val="00877EDB"/>
    <w:rsid w:val="00880BF0"/>
    <w:rsid w:val="00880D77"/>
    <w:rsid w:val="008818B9"/>
    <w:rsid w:val="00881A5E"/>
    <w:rsid w:val="00881B2C"/>
    <w:rsid w:val="008820D5"/>
    <w:rsid w:val="00883107"/>
    <w:rsid w:val="00883621"/>
    <w:rsid w:val="00883F25"/>
    <w:rsid w:val="008848F5"/>
    <w:rsid w:val="0088530E"/>
    <w:rsid w:val="00885B06"/>
    <w:rsid w:val="00885E9B"/>
    <w:rsid w:val="00886A0B"/>
    <w:rsid w:val="00887022"/>
    <w:rsid w:val="00887499"/>
    <w:rsid w:val="008878AA"/>
    <w:rsid w:val="00890390"/>
    <w:rsid w:val="0089070A"/>
    <w:rsid w:val="00890AD7"/>
    <w:rsid w:val="00890D58"/>
    <w:rsid w:val="00891BA4"/>
    <w:rsid w:val="00891BAB"/>
    <w:rsid w:val="00891C31"/>
    <w:rsid w:val="008927CF"/>
    <w:rsid w:val="008928F1"/>
    <w:rsid w:val="00892AC2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2B9"/>
    <w:rsid w:val="008974EA"/>
    <w:rsid w:val="00897B22"/>
    <w:rsid w:val="00897C5E"/>
    <w:rsid w:val="00897CB4"/>
    <w:rsid w:val="008A01CD"/>
    <w:rsid w:val="008A01DC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A09"/>
    <w:rsid w:val="008A2C65"/>
    <w:rsid w:val="008A2CDB"/>
    <w:rsid w:val="008A3EDD"/>
    <w:rsid w:val="008A40FD"/>
    <w:rsid w:val="008A40FE"/>
    <w:rsid w:val="008A42AB"/>
    <w:rsid w:val="008A444F"/>
    <w:rsid w:val="008A4620"/>
    <w:rsid w:val="008A523D"/>
    <w:rsid w:val="008A5722"/>
    <w:rsid w:val="008A5C46"/>
    <w:rsid w:val="008A5F04"/>
    <w:rsid w:val="008A6674"/>
    <w:rsid w:val="008A6731"/>
    <w:rsid w:val="008A6748"/>
    <w:rsid w:val="008A6B0A"/>
    <w:rsid w:val="008A6D1A"/>
    <w:rsid w:val="008A7597"/>
    <w:rsid w:val="008A7756"/>
    <w:rsid w:val="008B0237"/>
    <w:rsid w:val="008B0725"/>
    <w:rsid w:val="008B0BAD"/>
    <w:rsid w:val="008B0C71"/>
    <w:rsid w:val="008B1BA9"/>
    <w:rsid w:val="008B2160"/>
    <w:rsid w:val="008B24E5"/>
    <w:rsid w:val="008B2511"/>
    <w:rsid w:val="008B2A5A"/>
    <w:rsid w:val="008B2C2B"/>
    <w:rsid w:val="008B2C67"/>
    <w:rsid w:val="008B36E1"/>
    <w:rsid w:val="008B38D8"/>
    <w:rsid w:val="008B3B42"/>
    <w:rsid w:val="008B3D8E"/>
    <w:rsid w:val="008B3EF3"/>
    <w:rsid w:val="008B52BF"/>
    <w:rsid w:val="008B5663"/>
    <w:rsid w:val="008B581F"/>
    <w:rsid w:val="008B585D"/>
    <w:rsid w:val="008B597A"/>
    <w:rsid w:val="008B5EF4"/>
    <w:rsid w:val="008B606C"/>
    <w:rsid w:val="008B60C2"/>
    <w:rsid w:val="008B65E2"/>
    <w:rsid w:val="008B6EFA"/>
    <w:rsid w:val="008B7407"/>
    <w:rsid w:val="008B7685"/>
    <w:rsid w:val="008B79B7"/>
    <w:rsid w:val="008B7DB0"/>
    <w:rsid w:val="008C004E"/>
    <w:rsid w:val="008C04DB"/>
    <w:rsid w:val="008C0833"/>
    <w:rsid w:val="008C1D93"/>
    <w:rsid w:val="008C24EC"/>
    <w:rsid w:val="008C3659"/>
    <w:rsid w:val="008C38C3"/>
    <w:rsid w:val="008C4F80"/>
    <w:rsid w:val="008C555A"/>
    <w:rsid w:val="008C563A"/>
    <w:rsid w:val="008C57E7"/>
    <w:rsid w:val="008C5A74"/>
    <w:rsid w:val="008C5F04"/>
    <w:rsid w:val="008C7EE6"/>
    <w:rsid w:val="008D0698"/>
    <w:rsid w:val="008D072F"/>
    <w:rsid w:val="008D0F98"/>
    <w:rsid w:val="008D2224"/>
    <w:rsid w:val="008D2C5B"/>
    <w:rsid w:val="008D2EB7"/>
    <w:rsid w:val="008D321C"/>
    <w:rsid w:val="008D4FC9"/>
    <w:rsid w:val="008D520F"/>
    <w:rsid w:val="008D5D26"/>
    <w:rsid w:val="008D5D89"/>
    <w:rsid w:val="008D5DCB"/>
    <w:rsid w:val="008D655E"/>
    <w:rsid w:val="008D6594"/>
    <w:rsid w:val="008D7323"/>
    <w:rsid w:val="008D7E4F"/>
    <w:rsid w:val="008E01EA"/>
    <w:rsid w:val="008E07A7"/>
    <w:rsid w:val="008E100B"/>
    <w:rsid w:val="008E14A9"/>
    <w:rsid w:val="008E2008"/>
    <w:rsid w:val="008E20AC"/>
    <w:rsid w:val="008E3ACE"/>
    <w:rsid w:val="008E4058"/>
    <w:rsid w:val="008E41BF"/>
    <w:rsid w:val="008E44A9"/>
    <w:rsid w:val="008E4A61"/>
    <w:rsid w:val="008E4B30"/>
    <w:rsid w:val="008E55DB"/>
    <w:rsid w:val="008E5900"/>
    <w:rsid w:val="008E5A5C"/>
    <w:rsid w:val="008E67CE"/>
    <w:rsid w:val="008E7A7C"/>
    <w:rsid w:val="008E7DFF"/>
    <w:rsid w:val="008E7FC1"/>
    <w:rsid w:val="008F01CC"/>
    <w:rsid w:val="008F0D1F"/>
    <w:rsid w:val="008F0FA7"/>
    <w:rsid w:val="008F112B"/>
    <w:rsid w:val="008F17A3"/>
    <w:rsid w:val="008F17AB"/>
    <w:rsid w:val="008F3048"/>
    <w:rsid w:val="008F3ABD"/>
    <w:rsid w:val="008F3CFE"/>
    <w:rsid w:val="008F3EC7"/>
    <w:rsid w:val="008F4519"/>
    <w:rsid w:val="008F488D"/>
    <w:rsid w:val="008F5424"/>
    <w:rsid w:val="008F543B"/>
    <w:rsid w:val="008F550C"/>
    <w:rsid w:val="008F56D0"/>
    <w:rsid w:val="008F673E"/>
    <w:rsid w:val="008F68AB"/>
    <w:rsid w:val="008F6943"/>
    <w:rsid w:val="008F7093"/>
    <w:rsid w:val="008F7D4B"/>
    <w:rsid w:val="009006A7"/>
    <w:rsid w:val="00900C19"/>
    <w:rsid w:val="00901B42"/>
    <w:rsid w:val="009026E9"/>
    <w:rsid w:val="00902E04"/>
    <w:rsid w:val="00902FCD"/>
    <w:rsid w:val="009036C1"/>
    <w:rsid w:val="00903DA1"/>
    <w:rsid w:val="0090403D"/>
    <w:rsid w:val="009043D6"/>
    <w:rsid w:val="00904434"/>
    <w:rsid w:val="00904DB3"/>
    <w:rsid w:val="009053A6"/>
    <w:rsid w:val="0090550A"/>
    <w:rsid w:val="00905535"/>
    <w:rsid w:val="009065BD"/>
    <w:rsid w:val="009066DA"/>
    <w:rsid w:val="009068A2"/>
    <w:rsid w:val="009079ED"/>
    <w:rsid w:val="00907C4C"/>
    <w:rsid w:val="00907D62"/>
    <w:rsid w:val="00910816"/>
    <w:rsid w:val="009108D6"/>
    <w:rsid w:val="0091164C"/>
    <w:rsid w:val="00911772"/>
    <w:rsid w:val="009117A4"/>
    <w:rsid w:val="0091229F"/>
    <w:rsid w:val="00912B51"/>
    <w:rsid w:val="00912F17"/>
    <w:rsid w:val="0091317D"/>
    <w:rsid w:val="00913F44"/>
    <w:rsid w:val="0091409A"/>
    <w:rsid w:val="00914D92"/>
    <w:rsid w:val="00914FE2"/>
    <w:rsid w:val="00915677"/>
    <w:rsid w:val="0091589A"/>
    <w:rsid w:val="00915B60"/>
    <w:rsid w:val="00915D7C"/>
    <w:rsid w:val="00915F28"/>
    <w:rsid w:val="00916223"/>
    <w:rsid w:val="009165A4"/>
    <w:rsid w:val="009166A1"/>
    <w:rsid w:val="009167E8"/>
    <w:rsid w:val="009169CE"/>
    <w:rsid w:val="00916D53"/>
    <w:rsid w:val="00917021"/>
    <w:rsid w:val="00917886"/>
    <w:rsid w:val="0092050D"/>
    <w:rsid w:val="009209FC"/>
    <w:rsid w:val="00921052"/>
    <w:rsid w:val="009216D2"/>
    <w:rsid w:val="00921E02"/>
    <w:rsid w:val="00922249"/>
    <w:rsid w:val="0092226C"/>
    <w:rsid w:val="009228C6"/>
    <w:rsid w:val="00922928"/>
    <w:rsid w:val="00922D1B"/>
    <w:rsid w:val="009233C6"/>
    <w:rsid w:val="00923650"/>
    <w:rsid w:val="009237FB"/>
    <w:rsid w:val="00924ADC"/>
    <w:rsid w:val="009265A4"/>
    <w:rsid w:val="009266A1"/>
    <w:rsid w:val="009272B8"/>
    <w:rsid w:val="00927867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7D3"/>
    <w:rsid w:val="00935825"/>
    <w:rsid w:val="00935DFD"/>
    <w:rsid w:val="00935FE3"/>
    <w:rsid w:val="0093662A"/>
    <w:rsid w:val="009366EC"/>
    <w:rsid w:val="009368E3"/>
    <w:rsid w:val="00937867"/>
    <w:rsid w:val="00937EE7"/>
    <w:rsid w:val="00940147"/>
    <w:rsid w:val="00940426"/>
    <w:rsid w:val="00941025"/>
    <w:rsid w:val="00941471"/>
    <w:rsid w:val="0094188A"/>
    <w:rsid w:val="00942334"/>
    <w:rsid w:val="00942ECE"/>
    <w:rsid w:val="00942FA6"/>
    <w:rsid w:val="009433E3"/>
    <w:rsid w:val="00943402"/>
    <w:rsid w:val="00943BEB"/>
    <w:rsid w:val="00944170"/>
    <w:rsid w:val="00944BEC"/>
    <w:rsid w:val="00944CDB"/>
    <w:rsid w:val="00945820"/>
    <w:rsid w:val="009475FF"/>
    <w:rsid w:val="00950229"/>
    <w:rsid w:val="00950438"/>
    <w:rsid w:val="00950A54"/>
    <w:rsid w:val="00950E8A"/>
    <w:rsid w:val="00950F4A"/>
    <w:rsid w:val="00951190"/>
    <w:rsid w:val="009517A9"/>
    <w:rsid w:val="00953335"/>
    <w:rsid w:val="00953394"/>
    <w:rsid w:val="009533BA"/>
    <w:rsid w:val="00953A6A"/>
    <w:rsid w:val="00953EC7"/>
    <w:rsid w:val="009545F9"/>
    <w:rsid w:val="00954992"/>
    <w:rsid w:val="00954FCE"/>
    <w:rsid w:val="0095509B"/>
    <w:rsid w:val="00956401"/>
    <w:rsid w:val="00957615"/>
    <w:rsid w:val="00957B6D"/>
    <w:rsid w:val="00960550"/>
    <w:rsid w:val="009606B8"/>
    <w:rsid w:val="0096099F"/>
    <w:rsid w:val="00960A30"/>
    <w:rsid w:val="00960D73"/>
    <w:rsid w:val="00961061"/>
    <w:rsid w:val="009613BA"/>
    <w:rsid w:val="00961D47"/>
    <w:rsid w:val="00963043"/>
    <w:rsid w:val="00963159"/>
    <w:rsid w:val="0096360E"/>
    <w:rsid w:val="00963A40"/>
    <w:rsid w:val="00964532"/>
    <w:rsid w:val="009645E4"/>
    <w:rsid w:val="00964A97"/>
    <w:rsid w:val="00965072"/>
    <w:rsid w:val="0096544F"/>
    <w:rsid w:val="0096558D"/>
    <w:rsid w:val="0096571E"/>
    <w:rsid w:val="0096684F"/>
    <w:rsid w:val="00966889"/>
    <w:rsid w:val="00967C3E"/>
    <w:rsid w:val="00967CEB"/>
    <w:rsid w:val="0097026E"/>
    <w:rsid w:val="00970900"/>
    <w:rsid w:val="00970B63"/>
    <w:rsid w:val="00970BDE"/>
    <w:rsid w:val="00971020"/>
    <w:rsid w:val="00971435"/>
    <w:rsid w:val="00971CFE"/>
    <w:rsid w:val="00971E4B"/>
    <w:rsid w:val="009721A4"/>
    <w:rsid w:val="009723ED"/>
    <w:rsid w:val="00972482"/>
    <w:rsid w:val="009725B4"/>
    <w:rsid w:val="00972626"/>
    <w:rsid w:val="009728FF"/>
    <w:rsid w:val="00972B8E"/>
    <w:rsid w:val="0097324B"/>
    <w:rsid w:val="009732AE"/>
    <w:rsid w:val="009732DB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2A2"/>
    <w:rsid w:val="0098054A"/>
    <w:rsid w:val="0098094A"/>
    <w:rsid w:val="00980B53"/>
    <w:rsid w:val="00981227"/>
    <w:rsid w:val="00981ECF"/>
    <w:rsid w:val="00982264"/>
    <w:rsid w:val="00982611"/>
    <w:rsid w:val="00982706"/>
    <w:rsid w:val="009829B8"/>
    <w:rsid w:val="00982DCE"/>
    <w:rsid w:val="00983A25"/>
    <w:rsid w:val="00983B4D"/>
    <w:rsid w:val="00983E5B"/>
    <w:rsid w:val="00984845"/>
    <w:rsid w:val="0098488B"/>
    <w:rsid w:val="0098515A"/>
    <w:rsid w:val="00985348"/>
    <w:rsid w:val="00985514"/>
    <w:rsid w:val="00985CB4"/>
    <w:rsid w:val="00986AAF"/>
    <w:rsid w:val="00986E46"/>
    <w:rsid w:val="009874F0"/>
    <w:rsid w:val="00987EE8"/>
    <w:rsid w:val="0099033B"/>
    <w:rsid w:val="009908D6"/>
    <w:rsid w:val="00991823"/>
    <w:rsid w:val="009923D2"/>
    <w:rsid w:val="0099297E"/>
    <w:rsid w:val="00992A91"/>
    <w:rsid w:val="00993A0A"/>
    <w:rsid w:val="00994376"/>
    <w:rsid w:val="00994B00"/>
    <w:rsid w:val="00995382"/>
    <w:rsid w:val="00995F86"/>
    <w:rsid w:val="0099601F"/>
    <w:rsid w:val="0099627F"/>
    <w:rsid w:val="009963DE"/>
    <w:rsid w:val="00996D7A"/>
    <w:rsid w:val="009977B3"/>
    <w:rsid w:val="009979BF"/>
    <w:rsid w:val="00997BD1"/>
    <w:rsid w:val="00997BED"/>
    <w:rsid w:val="009A0450"/>
    <w:rsid w:val="009A09F7"/>
    <w:rsid w:val="009A1EE5"/>
    <w:rsid w:val="009A243C"/>
    <w:rsid w:val="009A25E2"/>
    <w:rsid w:val="009A2840"/>
    <w:rsid w:val="009A2B91"/>
    <w:rsid w:val="009A2BB1"/>
    <w:rsid w:val="009A3354"/>
    <w:rsid w:val="009A3751"/>
    <w:rsid w:val="009A3F08"/>
    <w:rsid w:val="009A401D"/>
    <w:rsid w:val="009A4900"/>
    <w:rsid w:val="009A4A0B"/>
    <w:rsid w:val="009A515D"/>
    <w:rsid w:val="009A53F9"/>
    <w:rsid w:val="009A5924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19D"/>
    <w:rsid w:val="009B1BDA"/>
    <w:rsid w:val="009B1BE5"/>
    <w:rsid w:val="009B1C25"/>
    <w:rsid w:val="009B29EC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B72F6"/>
    <w:rsid w:val="009C0ABB"/>
    <w:rsid w:val="009C1F80"/>
    <w:rsid w:val="009C1FE9"/>
    <w:rsid w:val="009C2625"/>
    <w:rsid w:val="009C2821"/>
    <w:rsid w:val="009C35EC"/>
    <w:rsid w:val="009C3693"/>
    <w:rsid w:val="009C3ED9"/>
    <w:rsid w:val="009C4431"/>
    <w:rsid w:val="009C485C"/>
    <w:rsid w:val="009C5228"/>
    <w:rsid w:val="009C5326"/>
    <w:rsid w:val="009C5369"/>
    <w:rsid w:val="009C537F"/>
    <w:rsid w:val="009C540E"/>
    <w:rsid w:val="009C558C"/>
    <w:rsid w:val="009C5A0F"/>
    <w:rsid w:val="009C5F6A"/>
    <w:rsid w:val="009C5F7D"/>
    <w:rsid w:val="009C6704"/>
    <w:rsid w:val="009C6AA0"/>
    <w:rsid w:val="009C7326"/>
    <w:rsid w:val="009C7350"/>
    <w:rsid w:val="009C796A"/>
    <w:rsid w:val="009C7D98"/>
    <w:rsid w:val="009C7FDA"/>
    <w:rsid w:val="009D0240"/>
    <w:rsid w:val="009D08B4"/>
    <w:rsid w:val="009D09EC"/>
    <w:rsid w:val="009D0D2F"/>
    <w:rsid w:val="009D10EA"/>
    <w:rsid w:val="009D12D7"/>
    <w:rsid w:val="009D169B"/>
    <w:rsid w:val="009D188E"/>
    <w:rsid w:val="009D1A02"/>
    <w:rsid w:val="009D1E02"/>
    <w:rsid w:val="009D2234"/>
    <w:rsid w:val="009D2686"/>
    <w:rsid w:val="009D2B16"/>
    <w:rsid w:val="009D2E1E"/>
    <w:rsid w:val="009D3208"/>
    <w:rsid w:val="009D39F4"/>
    <w:rsid w:val="009D3FA9"/>
    <w:rsid w:val="009D3FBF"/>
    <w:rsid w:val="009D4192"/>
    <w:rsid w:val="009D43F1"/>
    <w:rsid w:val="009D4C0B"/>
    <w:rsid w:val="009D5034"/>
    <w:rsid w:val="009D51C1"/>
    <w:rsid w:val="009D6152"/>
    <w:rsid w:val="009D6A5C"/>
    <w:rsid w:val="009D7207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148"/>
    <w:rsid w:val="009E32D7"/>
    <w:rsid w:val="009E3A32"/>
    <w:rsid w:val="009E43E0"/>
    <w:rsid w:val="009E47F3"/>
    <w:rsid w:val="009E4A78"/>
    <w:rsid w:val="009E569D"/>
    <w:rsid w:val="009E56A3"/>
    <w:rsid w:val="009E5853"/>
    <w:rsid w:val="009E5EBA"/>
    <w:rsid w:val="009E65F2"/>
    <w:rsid w:val="009E6A07"/>
    <w:rsid w:val="009E6E23"/>
    <w:rsid w:val="009E6E59"/>
    <w:rsid w:val="009E78F5"/>
    <w:rsid w:val="009E79D2"/>
    <w:rsid w:val="009E7DC5"/>
    <w:rsid w:val="009F0057"/>
    <w:rsid w:val="009F0DA7"/>
    <w:rsid w:val="009F1FA2"/>
    <w:rsid w:val="009F2355"/>
    <w:rsid w:val="009F2C79"/>
    <w:rsid w:val="009F2E69"/>
    <w:rsid w:val="009F32B6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03E4"/>
    <w:rsid w:val="00A0102F"/>
    <w:rsid w:val="00A018DE"/>
    <w:rsid w:val="00A022B7"/>
    <w:rsid w:val="00A02858"/>
    <w:rsid w:val="00A031D0"/>
    <w:rsid w:val="00A0330C"/>
    <w:rsid w:val="00A03354"/>
    <w:rsid w:val="00A04086"/>
    <w:rsid w:val="00A04391"/>
    <w:rsid w:val="00A04C49"/>
    <w:rsid w:val="00A04E4D"/>
    <w:rsid w:val="00A04E6E"/>
    <w:rsid w:val="00A04EE8"/>
    <w:rsid w:val="00A04FEC"/>
    <w:rsid w:val="00A0535F"/>
    <w:rsid w:val="00A0561D"/>
    <w:rsid w:val="00A05A12"/>
    <w:rsid w:val="00A05FB9"/>
    <w:rsid w:val="00A06057"/>
    <w:rsid w:val="00A061CA"/>
    <w:rsid w:val="00A065C2"/>
    <w:rsid w:val="00A066ED"/>
    <w:rsid w:val="00A0723A"/>
    <w:rsid w:val="00A07A77"/>
    <w:rsid w:val="00A07E70"/>
    <w:rsid w:val="00A1018B"/>
    <w:rsid w:val="00A11A55"/>
    <w:rsid w:val="00A11AF9"/>
    <w:rsid w:val="00A11D12"/>
    <w:rsid w:val="00A11D9B"/>
    <w:rsid w:val="00A11E46"/>
    <w:rsid w:val="00A11E8E"/>
    <w:rsid w:val="00A11FA9"/>
    <w:rsid w:val="00A12285"/>
    <w:rsid w:val="00A12570"/>
    <w:rsid w:val="00A129C3"/>
    <w:rsid w:val="00A12BC7"/>
    <w:rsid w:val="00A12E26"/>
    <w:rsid w:val="00A12EFA"/>
    <w:rsid w:val="00A1329C"/>
    <w:rsid w:val="00A1369A"/>
    <w:rsid w:val="00A13F37"/>
    <w:rsid w:val="00A1437B"/>
    <w:rsid w:val="00A1444A"/>
    <w:rsid w:val="00A1456F"/>
    <w:rsid w:val="00A147BE"/>
    <w:rsid w:val="00A148FB"/>
    <w:rsid w:val="00A14DAE"/>
    <w:rsid w:val="00A15AFA"/>
    <w:rsid w:val="00A16D25"/>
    <w:rsid w:val="00A17275"/>
    <w:rsid w:val="00A17283"/>
    <w:rsid w:val="00A17A49"/>
    <w:rsid w:val="00A2002A"/>
    <w:rsid w:val="00A2071F"/>
    <w:rsid w:val="00A20AD9"/>
    <w:rsid w:val="00A2109E"/>
    <w:rsid w:val="00A224C3"/>
    <w:rsid w:val="00A22863"/>
    <w:rsid w:val="00A23423"/>
    <w:rsid w:val="00A23578"/>
    <w:rsid w:val="00A23882"/>
    <w:rsid w:val="00A23A81"/>
    <w:rsid w:val="00A23BB2"/>
    <w:rsid w:val="00A23F10"/>
    <w:rsid w:val="00A23FA7"/>
    <w:rsid w:val="00A2469A"/>
    <w:rsid w:val="00A249CB"/>
    <w:rsid w:val="00A250FE"/>
    <w:rsid w:val="00A256B2"/>
    <w:rsid w:val="00A25803"/>
    <w:rsid w:val="00A2585A"/>
    <w:rsid w:val="00A25931"/>
    <w:rsid w:val="00A25F3A"/>
    <w:rsid w:val="00A263A8"/>
    <w:rsid w:val="00A26BA5"/>
    <w:rsid w:val="00A27024"/>
    <w:rsid w:val="00A273EC"/>
    <w:rsid w:val="00A27517"/>
    <w:rsid w:val="00A27C11"/>
    <w:rsid w:val="00A27C76"/>
    <w:rsid w:val="00A27E8F"/>
    <w:rsid w:val="00A27EF8"/>
    <w:rsid w:val="00A30BE4"/>
    <w:rsid w:val="00A30C6A"/>
    <w:rsid w:val="00A30D30"/>
    <w:rsid w:val="00A312A9"/>
    <w:rsid w:val="00A31B54"/>
    <w:rsid w:val="00A31BC9"/>
    <w:rsid w:val="00A31F93"/>
    <w:rsid w:val="00A32028"/>
    <w:rsid w:val="00A3276A"/>
    <w:rsid w:val="00A32774"/>
    <w:rsid w:val="00A33041"/>
    <w:rsid w:val="00A33107"/>
    <w:rsid w:val="00A3346D"/>
    <w:rsid w:val="00A34237"/>
    <w:rsid w:val="00A345A2"/>
    <w:rsid w:val="00A34BAD"/>
    <w:rsid w:val="00A34BCF"/>
    <w:rsid w:val="00A34CFA"/>
    <w:rsid w:val="00A357DC"/>
    <w:rsid w:val="00A35B92"/>
    <w:rsid w:val="00A35E90"/>
    <w:rsid w:val="00A3604C"/>
    <w:rsid w:val="00A36A44"/>
    <w:rsid w:val="00A36AC8"/>
    <w:rsid w:val="00A37046"/>
    <w:rsid w:val="00A374CC"/>
    <w:rsid w:val="00A3754A"/>
    <w:rsid w:val="00A37562"/>
    <w:rsid w:val="00A37627"/>
    <w:rsid w:val="00A37A11"/>
    <w:rsid w:val="00A37E64"/>
    <w:rsid w:val="00A40310"/>
    <w:rsid w:val="00A417FE"/>
    <w:rsid w:val="00A41EED"/>
    <w:rsid w:val="00A42059"/>
    <w:rsid w:val="00A42529"/>
    <w:rsid w:val="00A42911"/>
    <w:rsid w:val="00A42AA0"/>
    <w:rsid w:val="00A42EE3"/>
    <w:rsid w:val="00A438BC"/>
    <w:rsid w:val="00A43DC9"/>
    <w:rsid w:val="00A447E3"/>
    <w:rsid w:val="00A44C21"/>
    <w:rsid w:val="00A45E27"/>
    <w:rsid w:val="00A461DF"/>
    <w:rsid w:val="00A46858"/>
    <w:rsid w:val="00A46ADF"/>
    <w:rsid w:val="00A4763A"/>
    <w:rsid w:val="00A47829"/>
    <w:rsid w:val="00A509A5"/>
    <w:rsid w:val="00A50CDC"/>
    <w:rsid w:val="00A51086"/>
    <w:rsid w:val="00A51A17"/>
    <w:rsid w:val="00A51E28"/>
    <w:rsid w:val="00A51F91"/>
    <w:rsid w:val="00A52334"/>
    <w:rsid w:val="00A5235D"/>
    <w:rsid w:val="00A536A4"/>
    <w:rsid w:val="00A53CAF"/>
    <w:rsid w:val="00A53D3C"/>
    <w:rsid w:val="00A53F59"/>
    <w:rsid w:val="00A5413B"/>
    <w:rsid w:val="00A5462D"/>
    <w:rsid w:val="00A54B5F"/>
    <w:rsid w:val="00A54D62"/>
    <w:rsid w:val="00A55E5B"/>
    <w:rsid w:val="00A55F90"/>
    <w:rsid w:val="00A56261"/>
    <w:rsid w:val="00A5643A"/>
    <w:rsid w:val="00A565DF"/>
    <w:rsid w:val="00A56C4F"/>
    <w:rsid w:val="00A56D75"/>
    <w:rsid w:val="00A574A9"/>
    <w:rsid w:val="00A60804"/>
    <w:rsid w:val="00A60F53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87A"/>
    <w:rsid w:val="00A65ADE"/>
    <w:rsid w:val="00A65BEE"/>
    <w:rsid w:val="00A65C26"/>
    <w:rsid w:val="00A65EE7"/>
    <w:rsid w:val="00A662DC"/>
    <w:rsid w:val="00A66365"/>
    <w:rsid w:val="00A67409"/>
    <w:rsid w:val="00A676A8"/>
    <w:rsid w:val="00A67C28"/>
    <w:rsid w:val="00A67C3C"/>
    <w:rsid w:val="00A67FFD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799"/>
    <w:rsid w:val="00A7589F"/>
    <w:rsid w:val="00A7645E"/>
    <w:rsid w:val="00A76564"/>
    <w:rsid w:val="00A76ADF"/>
    <w:rsid w:val="00A77243"/>
    <w:rsid w:val="00A77509"/>
    <w:rsid w:val="00A77527"/>
    <w:rsid w:val="00A7768D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8A"/>
    <w:rsid w:val="00A834F3"/>
    <w:rsid w:val="00A8367E"/>
    <w:rsid w:val="00A836CC"/>
    <w:rsid w:val="00A837D4"/>
    <w:rsid w:val="00A84808"/>
    <w:rsid w:val="00A853A2"/>
    <w:rsid w:val="00A85601"/>
    <w:rsid w:val="00A8575C"/>
    <w:rsid w:val="00A8588C"/>
    <w:rsid w:val="00A85B5B"/>
    <w:rsid w:val="00A85CA7"/>
    <w:rsid w:val="00A862C3"/>
    <w:rsid w:val="00A862DA"/>
    <w:rsid w:val="00A86ACB"/>
    <w:rsid w:val="00A87414"/>
    <w:rsid w:val="00A87AC5"/>
    <w:rsid w:val="00A87F51"/>
    <w:rsid w:val="00A9047F"/>
    <w:rsid w:val="00A9066A"/>
    <w:rsid w:val="00A90B9F"/>
    <w:rsid w:val="00A90FEE"/>
    <w:rsid w:val="00A912B3"/>
    <w:rsid w:val="00A91C2C"/>
    <w:rsid w:val="00A91E35"/>
    <w:rsid w:val="00A921AC"/>
    <w:rsid w:val="00A9294F"/>
    <w:rsid w:val="00A93146"/>
    <w:rsid w:val="00A93B42"/>
    <w:rsid w:val="00A93B5E"/>
    <w:rsid w:val="00A93C01"/>
    <w:rsid w:val="00A93F2E"/>
    <w:rsid w:val="00A94297"/>
    <w:rsid w:val="00A948AF"/>
    <w:rsid w:val="00A951C8"/>
    <w:rsid w:val="00A955E1"/>
    <w:rsid w:val="00A955FC"/>
    <w:rsid w:val="00A95BD4"/>
    <w:rsid w:val="00A95EFB"/>
    <w:rsid w:val="00A963ED"/>
    <w:rsid w:val="00A97034"/>
    <w:rsid w:val="00A97597"/>
    <w:rsid w:val="00A97789"/>
    <w:rsid w:val="00A97C12"/>
    <w:rsid w:val="00AA03C8"/>
    <w:rsid w:val="00AA0EF8"/>
    <w:rsid w:val="00AA127E"/>
    <w:rsid w:val="00AA12A1"/>
    <w:rsid w:val="00AA12E3"/>
    <w:rsid w:val="00AA1368"/>
    <w:rsid w:val="00AA1738"/>
    <w:rsid w:val="00AA2D29"/>
    <w:rsid w:val="00AA319C"/>
    <w:rsid w:val="00AA34A1"/>
    <w:rsid w:val="00AA39A8"/>
    <w:rsid w:val="00AA5784"/>
    <w:rsid w:val="00AA6007"/>
    <w:rsid w:val="00AA60BC"/>
    <w:rsid w:val="00AA64DB"/>
    <w:rsid w:val="00AA6783"/>
    <w:rsid w:val="00AA67AF"/>
    <w:rsid w:val="00AA692F"/>
    <w:rsid w:val="00AA6AB3"/>
    <w:rsid w:val="00AA72A2"/>
    <w:rsid w:val="00AA794B"/>
    <w:rsid w:val="00AB0610"/>
    <w:rsid w:val="00AB0889"/>
    <w:rsid w:val="00AB1A06"/>
    <w:rsid w:val="00AB1A1C"/>
    <w:rsid w:val="00AB1EF4"/>
    <w:rsid w:val="00AB32C8"/>
    <w:rsid w:val="00AB4126"/>
    <w:rsid w:val="00AB477F"/>
    <w:rsid w:val="00AB4D78"/>
    <w:rsid w:val="00AB4FAB"/>
    <w:rsid w:val="00AB54A1"/>
    <w:rsid w:val="00AB563F"/>
    <w:rsid w:val="00AB57DE"/>
    <w:rsid w:val="00AB63E7"/>
    <w:rsid w:val="00AB6D82"/>
    <w:rsid w:val="00AB701B"/>
    <w:rsid w:val="00AB7641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3C70"/>
    <w:rsid w:val="00AC4076"/>
    <w:rsid w:val="00AC493A"/>
    <w:rsid w:val="00AC494D"/>
    <w:rsid w:val="00AC4FB1"/>
    <w:rsid w:val="00AC5532"/>
    <w:rsid w:val="00AC59AE"/>
    <w:rsid w:val="00AC66AF"/>
    <w:rsid w:val="00AC695D"/>
    <w:rsid w:val="00AC7028"/>
    <w:rsid w:val="00AC728B"/>
    <w:rsid w:val="00AD0697"/>
    <w:rsid w:val="00AD0F43"/>
    <w:rsid w:val="00AD138E"/>
    <w:rsid w:val="00AD13DB"/>
    <w:rsid w:val="00AD2581"/>
    <w:rsid w:val="00AD4B0B"/>
    <w:rsid w:val="00AD5240"/>
    <w:rsid w:val="00AD57C9"/>
    <w:rsid w:val="00AD6C63"/>
    <w:rsid w:val="00AD74C3"/>
    <w:rsid w:val="00AD75A9"/>
    <w:rsid w:val="00AD7A3D"/>
    <w:rsid w:val="00AD7E20"/>
    <w:rsid w:val="00AE12FE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B13"/>
    <w:rsid w:val="00AE6C12"/>
    <w:rsid w:val="00AE6D88"/>
    <w:rsid w:val="00AE74C4"/>
    <w:rsid w:val="00AF030B"/>
    <w:rsid w:val="00AF0761"/>
    <w:rsid w:val="00AF191A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5EB5"/>
    <w:rsid w:val="00AF62E9"/>
    <w:rsid w:val="00AF6800"/>
    <w:rsid w:val="00AF6898"/>
    <w:rsid w:val="00AF68F5"/>
    <w:rsid w:val="00AF6B57"/>
    <w:rsid w:val="00AF6C65"/>
    <w:rsid w:val="00AF72EA"/>
    <w:rsid w:val="00AF73AC"/>
    <w:rsid w:val="00AF758E"/>
    <w:rsid w:val="00AF7D28"/>
    <w:rsid w:val="00B00D6F"/>
    <w:rsid w:val="00B0110E"/>
    <w:rsid w:val="00B011D9"/>
    <w:rsid w:val="00B01EC8"/>
    <w:rsid w:val="00B023C5"/>
    <w:rsid w:val="00B0287D"/>
    <w:rsid w:val="00B03D5E"/>
    <w:rsid w:val="00B040C4"/>
    <w:rsid w:val="00B042E3"/>
    <w:rsid w:val="00B04EFE"/>
    <w:rsid w:val="00B0563E"/>
    <w:rsid w:val="00B060A5"/>
    <w:rsid w:val="00B066BD"/>
    <w:rsid w:val="00B06D5E"/>
    <w:rsid w:val="00B075FC"/>
    <w:rsid w:val="00B07A7B"/>
    <w:rsid w:val="00B07C05"/>
    <w:rsid w:val="00B07FDE"/>
    <w:rsid w:val="00B10682"/>
    <w:rsid w:val="00B10CFF"/>
    <w:rsid w:val="00B113F9"/>
    <w:rsid w:val="00B113FC"/>
    <w:rsid w:val="00B12406"/>
    <w:rsid w:val="00B1278D"/>
    <w:rsid w:val="00B133CE"/>
    <w:rsid w:val="00B1358F"/>
    <w:rsid w:val="00B1416C"/>
    <w:rsid w:val="00B1417E"/>
    <w:rsid w:val="00B14188"/>
    <w:rsid w:val="00B146EA"/>
    <w:rsid w:val="00B150DA"/>
    <w:rsid w:val="00B15DE4"/>
    <w:rsid w:val="00B1607B"/>
    <w:rsid w:val="00B165C3"/>
    <w:rsid w:val="00B17602"/>
    <w:rsid w:val="00B20738"/>
    <w:rsid w:val="00B207AC"/>
    <w:rsid w:val="00B208A9"/>
    <w:rsid w:val="00B20981"/>
    <w:rsid w:val="00B20B98"/>
    <w:rsid w:val="00B20E0D"/>
    <w:rsid w:val="00B210DB"/>
    <w:rsid w:val="00B211F0"/>
    <w:rsid w:val="00B215C5"/>
    <w:rsid w:val="00B2175E"/>
    <w:rsid w:val="00B21777"/>
    <w:rsid w:val="00B21A63"/>
    <w:rsid w:val="00B22F76"/>
    <w:rsid w:val="00B23071"/>
    <w:rsid w:val="00B2307D"/>
    <w:rsid w:val="00B237C6"/>
    <w:rsid w:val="00B23AD7"/>
    <w:rsid w:val="00B23CB4"/>
    <w:rsid w:val="00B241B4"/>
    <w:rsid w:val="00B2442C"/>
    <w:rsid w:val="00B249F3"/>
    <w:rsid w:val="00B24EFC"/>
    <w:rsid w:val="00B25848"/>
    <w:rsid w:val="00B259FC"/>
    <w:rsid w:val="00B26415"/>
    <w:rsid w:val="00B26DB0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B3B"/>
    <w:rsid w:val="00B32EF1"/>
    <w:rsid w:val="00B330B1"/>
    <w:rsid w:val="00B3367A"/>
    <w:rsid w:val="00B336F9"/>
    <w:rsid w:val="00B33C9B"/>
    <w:rsid w:val="00B3440E"/>
    <w:rsid w:val="00B3504A"/>
    <w:rsid w:val="00B351F5"/>
    <w:rsid w:val="00B3560F"/>
    <w:rsid w:val="00B360A9"/>
    <w:rsid w:val="00B36814"/>
    <w:rsid w:val="00B3721C"/>
    <w:rsid w:val="00B37A69"/>
    <w:rsid w:val="00B37B06"/>
    <w:rsid w:val="00B41071"/>
    <w:rsid w:val="00B41278"/>
    <w:rsid w:val="00B4172E"/>
    <w:rsid w:val="00B4186B"/>
    <w:rsid w:val="00B41C4D"/>
    <w:rsid w:val="00B41C8F"/>
    <w:rsid w:val="00B42EF5"/>
    <w:rsid w:val="00B43360"/>
    <w:rsid w:val="00B4390D"/>
    <w:rsid w:val="00B43A53"/>
    <w:rsid w:val="00B444A6"/>
    <w:rsid w:val="00B4463C"/>
    <w:rsid w:val="00B44799"/>
    <w:rsid w:val="00B44AA0"/>
    <w:rsid w:val="00B44CD7"/>
    <w:rsid w:val="00B455C5"/>
    <w:rsid w:val="00B45F57"/>
    <w:rsid w:val="00B46413"/>
    <w:rsid w:val="00B468A2"/>
    <w:rsid w:val="00B46DE1"/>
    <w:rsid w:val="00B47214"/>
    <w:rsid w:val="00B47320"/>
    <w:rsid w:val="00B47344"/>
    <w:rsid w:val="00B4744C"/>
    <w:rsid w:val="00B47533"/>
    <w:rsid w:val="00B4785B"/>
    <w:rsid w:val="00B503AC"/>
    <w:rsid w:val="00B50FBB"/>
    <w:rsid w:val="00B515B8"/>
    <w:rsid w:val="00B51D16"/>
    <w:rsid w:val="00B52536"/>
    <w:rsid w:val="00B52688"/>
    <w:rsid w:val="00B533BB"/>
    <w:rsid w:val="00B53E7F"/>
    <w:rsid w:val="00B543EC"/>
    <w:rsid w:val="00B54927"/>
    <w:rsid w:val="00B55671"/>
    <w:rsid w:val="00B564B1"/>
    <w:rsid w:val="00B573DE"/>
    <w:rsid w:val="00B57C6D"/>
    <w:rsid w:val="00B60673"/>
    <w:rsid w:val="00B60B81"/>
    <w:rsid w:val="00B60CB3"/>
    <w:rsid w:val="00B61664"/>
    <w:rsid w:val="00B6187F"/>
    <w:rsid w:val="00B61D3E"/>
    <w:rsid w:val="00B629B9"/>
    <w:rsid w:val="00B62C88"/>
    <w:rsid w:val="00B62DF4"/>
    <w:rsid w:val="00B635CD"/>
    <w:rsid w:val="00B635E2"/>
    <w:rsid w:val="00B63A94"/>
    <w:rsid w:val="00B640F7"/>
    <w:rsid w:val="00B6492B"/>
    <w:rsid w:val="00B64D17"/>
    <w:rsid w:val="00B64FA7"/>
    <w:rsid w:val="00B6527A"/>
    <w:rsid w:val="00B662A4"/>
    <w:rsid w:val="00B66E18"/>
    <w:rsid w:val="00B66E95"/>
    <w:rsid w:val="00B67673"/>
    <w:rsid w:val="00B67735"/>
    <w:rsid w:val="00B67EBE"/>
    <w:rsid w:val="00B70C2C"/>
    <w:rsid w:val="00B712D9"/>
    <w:rsid w:val="00B71AE4"/>
    <w:rsid w:val="00B7306C"/>
    <w:rsid w:val="00B73109"/>
    <w:rsid w:val="00B7381B"/>
    <w:rsid w:val="00B738AF"/>
    <w:rsid w:val="00B73A79"/>
    <w:rsid w:val="00B73F28"/>
    <w:rsid w:val="00B74137"/>
    <w:rsid w:val="00B747D4"/>
    <w:rsid w:val="00B74A2E"/>
    <w:rsid w:val="00B74E9A"/>
    <w:rsid w:val="00B75384"/>
    <w:rsid w:val="00B76828"/>
    <w:rsid w:val="00B76A1D"/>
    <w:rsid w:val="00B76A41"/>
    <w:rsid w:val="00B77061"/>
    <w:rsid w:val="00B77AA8"/>
    <w:rsid w:val="00B77E0D"/>
    <w:rsid w:val="00B77E32"/>
    <w:rsid w:val="00B80208"/>
    <w:rsid w:val="00B80627"/>
    <w:rsid w:val="00B807DE"/>
    <w:rsid w:val="00B80F66"/>
    <w:rsid w:val="00B817F9"/>
    <w:rsid w:val="00B81B39"/>
    <w:rsid w:val="00B8213E"/>
    <w:rsid w:val="00B821B2"/>
    <w:rsid w:val="00B8247B"/>
    <w:rsid w:val="00B82724"/>
    <w:rsid w:val="00B82BC0"/>
    <w:rsid w:val="00B8344E"/>
    <w:rsid w:val="00B841EF"/>
    <w:rsid w:val="00B84AF7"/>
    <w:rsid w:val="00B84D5C"/>
    <w:rsid w:val="00B851E3"/>
    <w:rsid w:val="00B85358"/>
    <w:rsid w:val="00B854FB"/>
    <w:rsid w:val="00B85D40"/>
    <w:rsid w:val="00B863A6"/>
    <w:rsid w:val="00B86C7B"/>
    <w:rsid w:val="00B86DE1"/>
    <w:rsid w:val="00B870B8"/>
    <w:rsid w:val="00B877AE"/>
    <w:rsid w:val="00B87CC9"/>
    <w:rsid w:val="00B87FF4"/>
    <w:rsid w:val="00B906DB"/>
    <w:rsid w:val="00B90F07"/>
    <w:rsid w:val="00B911AF"/>
    <w:rsid w:val="00B915DE"/>
    <w:rsid w:val="00B919A0"/>
    <w:rsid w:val="00B91C47"/>
    <w:rsid w:val="00B91FF9"/>
    <w:rsid w:val="00B92563"/>
    <w:rsid w:val="00B92E7C"/>
    <w:rsid w:val="00B93ECE"/>
    <w:rsid w:val="00B9437B"/>
    <w:rsid w:val="00B94623"/>
    <w:rsid w:val="00B9491C"/>
    <w:rsid w:val="00B94C18"/>
    <w:rsid w:val="00B94F2B"/>
    <w:rsid w:val="00B94F6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C10"/>
    <w:rsid w:val="00B97F7A"/>
    <w:rsid w:val="00BA05A9"/>
    <w:rsid w:val="00BA05EC"/>
    <w:rsid w:val="00BA07C0"/>
    <w:rsid w:val="00BA0B44"/>
    <w:rsid w:val="00BA0C6D"/>
    <w:rsid w:val="00BA0CF6"/>
    <w:rsid w:val="00BA0D0F"/>
    <w:rsid w:val="00BA1CDF"/>
    <w:rsid w:val="00BA1EB1"/>
    <w:rsid w:val="00BA26F8"/>
    <w:rsid w:val="00BA321A"/>
    <w:rsid w:val="00BA3C79"/>
    <w:rsid w:val="00BA44AB"/>
    <w:rsid w:val="00BA4955"/>
    <w:rsid w:val="00BA4CCF"/>
    <w:rsid w:val="00BA5EEF"/>
    <w:rsid w:val="00BA5F85"/>
    <w:rsid w:val="00BA6288"/>
    <w:rsid w:val="00BA69A9"/>
    <w:rsid w:val="00BA7689"/>
    <w:rsid w:val="00BA7A3E"/>
    <w:rsid w:val="00BA7C85"/>
    <w:rsid w:val="00BB025D"/>
    <w:rsid w:val="00BB0327"/>
    <w:rsid w:val="00BB0582"/>
    <w:rsid w:val="00BB0A5D"/>
    <w:rsid w:val="00BB0C2A"/>
    <w:rsid w:val="00BB0DC0"/>
    <w:rsid w:val="00BB0F27"/>
    <w:rsid w:val="00BB198E"/>
    <w:rsid w:val="00BB1D42"/>
    <w:rsid w:val="00BB204C"/>
    <w:rsid w:val="00BB2C33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6DF9"/>
    <w:rsid w:val="00BB7007"/>
    <w:rsid w:val="00BB764E"/>
    <w:rsid w:val="00BC035C"/>
    <w:rsid w:val="00BC04E3"/>
    <w:rsid w:val="00BC0B05"/>
    <w:rsid w:val="00BC0C5E"/>
    <w:rsid w:val="00BC1113"/>
    <w:rsid w:val="00BC11D5"/>
    <w:rsid w:val="00BC1294"/>
    <w:rsid w:val="00BC1924"/>
    <w:rsid w:val="00BC195A"/>
    <w:rsid w:val="00BC1F30"/>
    <w:rsid w:val="00BC1FBE"/>
    <w:rsid w:val="00BC2A64"/>
    <w:rsid w:val="00BC3690"/>
    <w:rsid w:val="00BC41CC"/>
    <w:rsid w:val="00BC4420"/>
    <w:rsid w:val="00BC450B"/>
    <w:rsid w:val="00BC59CF"/>
    <w:rsid w:val="00BC59D0"/>
    <w:rsid w:val="00BC5BBF"/>
    <w:rsid w:val="00BC673C"/>
    <w:rsid w:val="00BC6C9B"/>
    <w:rsid w:val="00BC6FFD"/>
    <w:rsid w:val="00BC760D"/>
    <w:rsid w:val="00BC7F97"/>
    <w:rsid w:val="00BD05D2"/>
    <w:rsid w:val="00BD0DF4"/>
    <w:rsid w:val="00BD17EA"/>
    <w:rsid w:val="00BD1C05"/>
    <w:rsid w:val="00BD1CDA"/>
    <w:rsid w:val="00BD272C"/>
    <w:rsid w:val="00BD2961"/>
    <w:rsid w:val="00BD2ABD"/>
    <w:rsid w:val="00BD2C28"/>
    <w:rsid w:val="00BD3079"/>
    <w:rsid w:val="00BD34AA"/>
    <w:rsid w:val="00BD34E8"/>
    <w:rsid w:val="00BD3BDE"/>
    <w:rsid w:val="00BD422D"/>
    <w:rsid w:val="00BD42F4"/>
    <w:rsid w:val="00BD4425"/>
    <w:rsid w:val="00BD4616"/>
    <w:rsid w:val="00BD481F"/>
    <w:rsid w:val="00BD4A95"/>
    <w:rsid w:val="00BD4EAF"/>
    <w:rsid w:val="00BD4F67"/>
    <w:rsid w:val="00BD50F6"/>
    <w:rsid w:val="00BD5498"/>
    <w:rsid w:val="00BD55E5"/>
    <w:rsid w:val="00BD575F"/>
    <w:rsid w:val="00BD5F89"/>
    <w:rsid w:val="00BD62AC"/>
    <w:rsid w:val="00BD64BF"/>
    <w:rsid w:val="00BD6C7A"/>
    <w:rsid w:val="00BD72A3"/>
    <w:rsid w:val="00BD77AC"/>
    <w:rsid w:val="00BD7C05"/>
    <w:rsid w:val="00BE0601"/>
    <w:rsid w:val="00BE0DAA"/>
    <w:rsid w:val="00BE17E2"/>
    <w:rsid w:val="00BE1B72"/>
    <w:rsid w:val="00BE1D49"/>
    <w:rsid w:val="00BE238C"/>
    <w:rsid w:val="00BE2571"/>
    <w:rsid w:val="00BE29DC"/>
    <w:rsid w:val="00BE3391"/>
    <w:rsid w:val="00BE37D2"/>
    <w:rsid w:val="00BE3A9F"/>
    <w:rsid w:val="00BE4225"/>
    <w:rsid w:val="00BE48E7"/>
    <w:rsid w:val="00BE4917"/>
    <w:rsid w:val="00BE4DEB"/>
    <w:rsid w:val="00BE4EA6"/>
    <w:rsid w:val="00BE5441"/>
    <w:rsid w:val="00BE56B5"/>
    <w:rsid w:val="00BE5E65"/>
    <w:rsid w:val="00BE62AE"/>
    <w:rsid w:val="00BE66D8"/>
    <w:rsid w:val="00BE6999"/>
    <w:rsid w:val="00BE69C2"/>
    <w:rsid w:val="00BE6B98"/>
    <w:rsid w:val="00BE73E7"/>
    <w:rsid w:val="00BE7C33"/>
    <w:rsid w:val="00BF0282"/>
    <w:rsid w:val="00BF0B08"/>
    <w:rsid w:val="00BF1C67"/>
    <w:rsid w:val="00BF1EE0"/>
    <w:rsid w:val="00BF1FD5"/>
    <w:rsid w:val="00BF227F"/>
    <w:rsid w:val="00BF23AB"/>
    <w:rsid w:val="00BF2648"/>
    <w:rsid w:val="00BF2C37"/>
    <w:rsid w:val="00BF3D20"/>
    <w:rsid w:val="00BF4129"/>
    <w:rsid w:val="00BF4B7C"/>
    <w:rsid w:val="00BF4D43"/>
    <w:rsid w:val="00BF58C5"/>
    <w:rsid w:val="00BF639D"/>
    <w:rsid w:val="00BF77A1"/>
    <w:rsid w:val="00BF7CAB"/>
    <w:rsid w:val="00BF7D69"/>
    <w:rsid w:val="00BF7E67"/>
    <w:rsid w:val="00C000BE"/>
    <w:rsid w:val="00C001CD"/>
    <w:rsid w:val="00C008E4"/>
    <w:rsid w:val="00C01AA8"/>
    <w:rsid w:val="00C02658"/>
    <w:rsid w:val="00C03903"/>
    <w:rsid w:val="00C04057"/>
    <w:rsid w:val="00C05024"/>
    <w:rsid w:val="00C05D76"/>
    <w:rsid w:val="00C05DC8"/>
    <w:rsid w:val="00C05F14"/>
    <w:rsid w:val="00C0603C"/>
    <w:rsid w:val="00C06A1D"/>
    <w:rsid w:val="00C0759C"/>
    <w:rsid w:val="00C0784B"/>
    <w:rsid w:val="00C1069B"/>
    <w:rsid w:val="00C10D7E"/>
    <w:rsid w:val="00C1116F"/>
    <w:rsid w:val="00C11403"/>
    <w:rsid w:val="00C122DD"/>
    <w:rsid w:val="00C123FA"/>
    <w:rsid w:val="00C124FF"/>
    <w:rsid w:val="00C12657"/>
    <w:rsid w:val="00C12B4E"/>
    <w:rsid w:val="00C13076"/>
    <w:rsid w:val="00C1390B"/>
    <w:rsid w:val="00C13A6F"/>
    <w:rsid w:val="00C13C56"/>
    <w:rsid w:val="00C13FB7"/>
    <w:rsid w:val="00C14264"/>
    <w:rsid w:val="00C14556"/>
    <w:rsid w:val="00C14719"/>
    <w:rsid w:val="00C14897"/>
    <w:rsid w:val="00C14CF0"/>
    <w:rsid w:val="00C153A9"/>
    <w:rsid w:val="00C155C0"/>
    <w:rsid w:val="00C15924"/>
    <w:rsid w:val="00C15B5E"/>
    <w:rsid w:val="00C15DED"/>
    <w:rsid w:val="00C16743"/>
    <w:rsid w:val="00C16C82"/>
    <w:rsid w:val="00C16DF5"/>
    <w:rsid w:val="00C1730F"/>
    <w:rsid w:val="00C200F5"/>
    <w:rsid w:val="00C20189"/>
    <w:rsid w:val="00C205EC"/>
    <w:rsid w:val="00C20698"/>
    <w:rsid w:val="00C20AE0"/>
    <w:rsid w:val="00C20D88"/>
    <w:rsid w:val="00C21017"/>
    <w:rsid w:val="00C21AA1"/>
    <w:rsid w:val="00C21ABF"/>
    <w:rsid w:val="00C21D5E"/>
    <w:rsid w:val="00C221A4"/>
    <w:rsid w:val="00C22F49"/>
    <w:rsid w:val="00C2316F"/>
    <w:rsid w:val="00C23DF7"/>
    <w:rsid w:val="00C23F97"/>
    <w:rsid w:val="00C23FD7"/>
    <w:rsid w:val="00C242DF"/>
    <w:rsid w:val="00C24B59"/>
    <w:rsid w:val="00C252EB"/>
    <w:rsid w:val="00C2581F"/>
    <w:rsid w:val="00C25A3A"/>
    <w:rsid w:val="00C25E43"/>
    <w:rsid w:val="00C2684A"/>
    <w:rsid w:val="00C26A62"/>
    <w:rsid w:val="00C26AAA"/>
    <w:rsid w:val="00C26BB6"/>
    <w:rsid w:val="00C27186"/>
    <w:rsid w:val="00C275A9"/>
    <w:rsid w:val="00C27DFF"/>
    <w:rsid w:val="00C3073D"/>
    <w:rsid w:val="00C308AF"/>
    <w:rsid w:val="00C30C77"/>
    <w:rsid w:val="00C31690"/>
    <w:rsid w:val="00C31A34"/>
    <w:rsid w:val="00C329BF"/>
    <w:rsid w:val="00C3428D"/>
    <w:rsid w:val="00C342D4"/>
    <w:rsid w:val="00C3436E"/>
    <w:rsid w:val="00C34C5D"/>
    <w:rsid w:val="00C34CDE"/>
    <w:rsid w:val="00C3614B"/>
    <w:rsid w:val="00C36BB4"/>
    <w:rsid w:val="00C40285"/>
    <w:rsid w:val="00C40C92"/>
    <w:rsid w:val="00C40F56"/>
    <w:rsid w:val="00C410A9"/>
    <w:rsid w:val="00C419BF"/>
    <w:rsid w:val="00C41AF6"/>
    <w:rsid w:val="00C41FA4"/>
    <w:rsid w:val="00C42091"/>
    <w:rsid w:val="00C423BF"/>
    <w:rsid w:val="00C42410"/>
    <w:rsid w:val="00C42862"/>
    <w:rsid w:val="00C4299F"/>
    <w:rsid w:val="00C43183"/>
    <w:rsid w:val="00C4373F"/>
    <w:rsid w:val="00C43EBE"/>
    <w:rsid w:val="00C44263"/>
    <w:rsid w:val="00C44F71"/>
    <w:rsid w:val="00C4536E"/>
    <w:rsid w:val="00C4630B"/>
    <w:rsid w:val="00C466FE"/>
    <w:rsid w:val="00C46949"/>
    <w:rsid w:val="00C46D0E"/>
    <w:rsid w:val="00C46E02"/>
    <w:rsid w:val="00C4788F"/>
    <w:rsid w:val="00C478A2"/>
    <w:rsid w:val="00C50A54"/>
    <w:rsid w:val="00C50E75"/>
    <w:rsid w:val="00C51CD4"/>
    <w:rsid w:val="00C51F7A"/>
    <w:rsid w:val="00C51FBB"/>
    <w:rsid w:val="00C52290"/>
    <w:rsid w:val="00C52736"/>
    <w:rsid w:val="00C52771"/>
    <w:rsid w:val="00C5290F"/>
    <w:rsid w:val="00C52C2D"/>
    <w:rsid w:val="00C5309B"/>
    <w:rsid w:val="00C537FF"/>
    <w:rsid w:val="00C53B2A"/>
    <w:rsid w:val="00C53F7B"/>
    <w:rsid w:val="00C54FFF"/>
    <w:rsid w:val="00C5605B"/>
    <w:rsid w:val="00C56068"/>
    <w:rsid w:val="00C56143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273"/>
    <w:rsid w:val="00C753AF"/>
    <w:rsid w:val="00C75720"/>
    <w:rsid w:val="00C7599D"/>
    <w:rsid w:val="00C75C50"/>
    <w:rsid w:val="00C75F98"/>
    <w:rsid w:val="00C76F61"/>
    <w:rsid w:val="00C77D6F"/>
    <w:rsid w:val="00C77DAB"/>
    <w:rsid w:val="00C80095"/>
    <w:rsid w:val="00C80A4E"/>
    <w:rsid w:val="00C82258"/>
    <w:rsid w:val="00C8225A"/>
    <w:rsid w:val="00C826E2"/>
    <w:rsid w:val="00C83773"/>
    <w:rsid w:val="00C838F0"/>
    <w:rsid w:val="00C83FA3"/>
    <w:rsid w:val="00C847E8"/>
    <w:rsid w:val="00C8518A"/>
    <w:rsid w:val="00C856D0"/>
    <w:rsid w:val="00C856E1"/>
    <w:rsid w:val="00C8573A"/>
    <w:rsid w:val="00C85AB8"/>
    <w:rsid w:val="00C85C77"/>
    <w:rsid w:val="00C86333"/>
    <w:rsid w:val="00C868EE"/>
    <w:rsid w:val="00C86DF0"/>
    <w:rsid w:val="00C86F53"/>
    <w:rsid w:val="00C86FB5"/>
    <w:rsid w:val="00C873C8"/>
    <w:rsid w:val="00C873C9"/>
    <w:rsid w:val="00C87936"/>
    <w:rsid w:val="00C8796E"/>
    <w:rsid w:val="00C87A37"/>
    <w:rsid w:val="00C87C48"/>
    <w:rsid w:val="00C87FF3"/>
    <w:rsid w:val="00C90229"/>
    <w:rsid w:val="00C90590"/>
    <w:rsid w:val="00C9138C"/>
    <w:rsid w:val="00C91D2E"/>
    <w:rsid w:val="00C91E78"/>
    <w:rsid w:val="00C928B3"/>
    <w:rsid w:val="00C92DC7"/>
    <w:rsid w:val="00C93B35"/>
    <w:rsid w:val="00C93CC7"/>
    <w:rsid w:val="00C93F8A"/>
    <w:rsid w:val="00C94812"/>
    <w:rsid w:val="00C948D6"/>
    <w:rsid w:val="00C94E29"/>
    <w:rsid w:val="00C94E80"/>
    <w:rsid w:val="00C95ECE"/>
    <w:rsid w:val="00C96031"/>
    <w:rsid w:val="00C96205"/>
    <w:rsid w:val="00C971D9"/>
    <w:rsid w:val="00C97C86"/>
    <w:rsid w:val="00C97F1B"/>
    <w:rsid w:val="00CA0070"/>
    <w:rsid w:val="00CA07A2"/>
    <w:rsid w:val="00CA0C19"/>
    <w:rsid w:val="00CA137E"/>
    <w:rsid w:val="00CA161B"/>
    <w:rsid w:val="00CA1F33"/>
    <w:rsid w:val="00CA2BD5"/>
    <w:rsid w:val="00CA2C8C"/>
    <w:rsid w:val="00CA30C5"/>
    <w:rsid w:val="00CA3297"/>
    <w:rsid w:val="00CA37E3"/>
    <w:rsid w:val="00CA467C"/>
    <w:rsid w:val="00CA49D0"/>
    <w:rsid w:val="00CA5135"/>
    <w:rsid w:val="00CA568B"/>
    <w:rsid w:val="00CA5C7F"/>
    <w:rsid w:val="00CA5D39"/>
    <w:rsid w:val="00CA6343"/>
    <w:rsid w:val="00CA749B"/>
    <w:rsid w:val="00CA7586"/>
    <w:rsid w:val="00CA7C61"/>
    <w:rsid w:val="00CB00D9"/>
    <w:rsid w:val="00CB03D3"/>
    <w:rsid w:val="00CB0B89"/>
    <w:rsid w:val="00CB0CDE"/>
    <w:rsid w:val="00CB1132"/>
    <w:rsid w:val="00CB118E"/>
    <w:rsid w:val="00CB19E7"/>
    <w:rsid w:val="00CB22A6"/>
    <w:rsid w:val="00CB26D6"/>
    <w:rsid w:val="00CB2814"/>
    <w:rsid w:val="00CB32EA"/>
    <w:rsid w:val="00CB4451"/>
    <w:rsid w:val="00CB4E1B"/>
    <w:rsid w:val="00CB5B70"/>
    <w:rsid w:val="00CB5D53"/>
    <w:rsid w:val="00CB6525"/>
    <w:rsid w:val="00CB6C6F"/>
    <w:rsid w:val="00CB7314"/>
    <w:rsid w:val="00CB76AA"/>
    <w:rsid w:val="00CB771E"/>
    <w:rsid w:val="00CB7805"/>
    <w:rsid w:val="00CB79AE"/>
    <w:rsid w:val="00CB7C76"/>
    <w:rsid w:val="00CB7E3D"/>
    <w:rsid w:val="00CC055B"/>
    <w:rsid w:val="00CC0715"/>
    <w:rsid w:val="00CC10EA"/>
    <w:rsid w:val="00CC1AD2"/>
    <w:rsid w:val="00CC1F06"/>
    <w:rsid w:val="00CC2ACB"/>
    <w:rsid w:val="00CC2DE3"/>
    <w:rsid w:val="00CC34BA"/>
    <w:rsid w:val="00CC34E5"/>
    <w:rsid w:val="00CC374B"/>
    <w:rsid w:val="00CC3C30"/>
    <w:rsid w:val="00CC3E08"/>
    <w:rsid w:val="00CC4B84"/>
    <w:rsid w:val="00CC4D22"/>
    <w:rsid w:val="00CC57AB"/>
    <w:rsid w:val="00CC5A18"/>
    <w:rsid w:val="00CC6448"/>
    <w:rsid w:val="00CC6551"/>
    <w:rsid w:val="00CC681F"/>
    <w:rsid w:val="00CC686F"/>
    <w:rsid w:val="00CC6C59"/>
    <w:rsid w:val="00CC733A"/>
    <w:rsid w:val="00CC736E"/>
    <w:rsid w:val="00CC75B2"/>
    <w:rsid w:val="00CC771E"/>
    <w:rsid w:val="00CC775F"/>
    <w:rsid w:val="00CC7783"/>
    <w:rsid w:val="00CD0292"/>
    <w:rsid w:val="00CD0C8D"/>
    <w:rsid w:val="00CD0D2B"/>
    <w:rsid w:val="00CD1312"/>
    <w:rsid w:val="00CD13A4"/>
    <w:rsid w:val="00CD19ED"/>
    <w:rsid w:val="00CD2039"/>
    <w:rsid w:val="00CD2076"/>
    <w:rsid w:val="00CD23A3"/>
    <w:rsid w:val="00CD2689"/>
    <w:rsid w:val="00CD280F"/>
    <w:rsid w:val="00CD293A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5B04"/>
    <w:rsid w:val="00CD62EC"/>
    <w:rsid w:val="00CD6EB4"/>
    <w:rsid w:val="00CD7550"/>
    <w:rsid w:val="00CD767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1AE"/>
    <w:rsid w:val="00CE44EE"/>
    <w:rsid w:val="00CE47EE"/>
    <w:rsid w:val="00CE488D"/>
    <w:rsid w:val="00CE4A72"/>
    <w:rsid w:val="00CE58D8"/>
    <w:rsid w:val="00CE5D17"/>
    <w:rsid w:val="00CE5DC3"/>
    <w:rsid w:val="00CE61BB"/>
    <w:rsid w:val="00CE6B2D"/>
    <w:rsid w:val="00CE6BF4"/>
    <w:rsid w:val="00CE79EC"/>
    <w:rsid w:val="00CF02CE"/>
    <w:rsid w:val="00CF0AE8"/>
    <w:rsid w:val="00CF0FE0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715"/>
    <w:rsid w:val="00CF79E4"/>
    <w:rsid w:val="00CF79FB"/>
    <w:rsid w:val="00D00397"/>
    <w:rsid w:val="00D00B48"/>
    <w:rsid w:val="00D0118F"/>
    <w:rsid w:val="00D01FCA"/>
    <w:rsid w:val="00D021B2"/>
    <w:rsid w:val="00D02936"/>
    <w:rsid w:val="00D02DF7"/>
    <w:rsid w:val="00D032AB"/>
    <w:rsid w:val="00D03B03"/>
    <w:rsid w:val="00D05EB3"/>
    <w:rsid w:val="00D06120"/>
    <w:rsid w:val="00D062D8"/>
    <w:rsid w:val="00D0675B"/>
    <w:rsid w:val="00D06DFE"/>
    <w:rsid w:val="00D07A4A"/>
    <w:rsid w:val="00D07E62"/>
    <w:rsid w:val="00D07EF4"/>
    <w:rsid w:val="00D100DF"/>
    <w:rsid w:val="00D10176"/>
    <w:rsid w:val="00D105A6"/>
    <w:rsid w:val="00D11E2F"/>
    <w:rsid w:val="00D123CB"/>
    <w:rsid w:val="00D126F3"/>
    <w:rsid w:val="00D12800"/>
    <w:rsid w:val="00D12D2B"/>
    <w:rsid w:val="00D12F6B"/>
    <w:rsid w:val="00D1348F"/>
    <w:rsid w:val="00D13C00"/>
    <w:rsid w:val="00D13C7D"/>
    <w:rsid w:val="00D14A9C"/>
    <w:rsid w:val="00D14ACA"/>
    <w:rsid w:val="00D14DD1"/>
    <w:rsid w:val="00D158BB"/>
    <w:rsid w:val="00D15992"/>
    <w:rsid w:val="00D16D74"/>
    <w:rsid w:val="00D17056"/>
    <w:rsid w:val="00D17B3E"/>
    <w:rsid w:val="00D17F1C"/>
    <w:rsid w:val="00D20563"/>
    <w:rsid w:val="00D20828"/>
    <w:rsid w:val="00D2120F"/>
    <w:rsid w:val="00D213F9"/>
    <w:rsid w:val="00D21C54"/>
    <w:rsid w:val="00D21CD3"/>
    <w:rsid w:val="00D21F98"/>
    <w:rsid w:val="00D22878"/>
    <w:rsid w:val="00D22DD0"/>
    <w:rsid w:val="00D22F1F"/>
    <w:rsid w:val="00D23206"/>
    <w:rsid w:val="00D2321B"/>
    <w:rsid w:val="00D24004"/>
    <w:rsid w:val="00D241D5"/>
    <w:rsid w:val="00D2459E"/>
    <w:rsid w:val="00D247CB"/>
    <w:rsid w:val="00D249EC"/>
    <w:rsid w:val="00D24D8C"/>
    <w:rsid w:val="00D25C76"/>
    <w:rsid w:val="00D261F3"/>
    <w:rsid w:val="00D2643A"/>
    <w:rsid w:val="00D264A9"/>
    <w:rsid w:val="00D264DB"/>
    <w:rsid w:val="00D267F3"/>
    <w:rsid w:val="00D26894"/>
    <w:rsid w:val="00D26BD0"/>
    <w:rsid w:val="00D27232"/>
    <w:rsid w:val="00D2740E"/>
    <w:rsid w:val="00D275CF"/>
    <w:rsid w:val="00D279A2"/>
    <w:rsid w:val="00D303E5"/>
    <w:rsid w:val="00D31801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551D"/>
    <w:rsid w:val="00D367CE"/>
    <w:rsid w:val="00D36A98"/>
    <w:rsid w:val="00D36B2E"/>
    <w:rsid w:val="00D4000F"/>
    <w:rsid w:val="00D406F9"/>
    <w:rsid w:val="00D4153C"/>
    <w:rsid w:val="00D423A7"/>
    <w:rsid w:val="00D42882"/>
    <w:rsid w:val="00D4293E"/>
    <w:rsid w:val="00D43E55"/>
    <w:rsid w:val="00D44046"/>
    <w:rsid w:val="00D4426C"/>
    <w:rsid w:val="00D44FC0"/>
    <w:rsid w:val="00D450C4"/>
    <w:rsid w:val="00D45798"/>
    <w:rsid w:val="00D45E40"/>
    <w:rsid w:val="00D4634F"/>
    <w:rsid w:val="00D463FB"/>
    <w:rsid w:val="00D464A1"/>
    <w:rsid w:val="00D4694C"/>
    <w:rsid w:val="00D46AFA"/>
    <w:rsid w:val="00D46EC8"/>
    <w:rsid w:val="00D47479"/>
    <w:rsid w:val="00D47909"/>
    <w:rsid w:val="00D47AC9"/>
    <w:rsid w:val="00D47C45"/>
    <w:rsid w:val="00D47F76"/>
    <w:rsid w:val="00D50357"/>
    <w:rsid w:val="00D505F7"/>
    <w:rsid w:val="00D51032"/>
    <w:rsid w:val="00D51288"/>
    <w:rsid w:val="00D514B5"/>
    <w:rsid w:val="00D530EB"/>
    <w:rsid w:val="00D532DD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1BB0"/>
    <w:rsid w:val="00D6233B"/>
    <w:rsid w:val="00D623A5"/>
    <w:rsid w:val="00D63383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811"/>
    <w:rsid w:val="00D6699B"/>
    <w:rsid w:val="00D67162"/>
    <w:rsid w:val="00D67442"/>
    <w:rsid w:val="00D67AF6"/>
    <w:rsid w:val="00D7022B"/>
    <w:rsid w:val="00D703FF"/>
    <w:rsid w:val="00D70E4F"/>
    <w:rsid w:val="00D7183A"/>
    <w:rsid w:val="00D71C67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A96"/>
    <w:rsid w:val="00D76E68"/>
    <w:rsid w:val="00D76EF0"/>
    <w:rsid w:val="00D7781C"/>
    <w:rsid w:val="00D80103"/>
    <w:rsid w:val="00D80B57"/>
    <w:rsid w:val="00D80C95"/>
    <w:rsid w:val="00D80C9F"/>
    <w:rsid w:val="00D80E26"/>
    <w:rsid w:val="00D81AA1"/>
    <w:rsid w:val="00D827E7"/>
    <w:rsid w:val="00D829AD"/>
    <w:rsid w:val="00D82CF8"/>
    <w:rsid w:val="00D82ECD"/>
    <w:rsid w:val="00D839A0"/>
    <w:rsid w:val="00D83E48"/>
    <w:rsid w:val="00D84153"/>
    <w:rsid w:val="00D843DF"/>
    <w:rsid w:val="00D84D20"/>
    <w:rsid w:val="00D86532"/>
    <w:rsid w:val="00D871DD"/>
    <w:rsid w:val="00D876AB"/>
    <w:rsid w:val="00D905FF"/>
    <w:rsid w:val="00D90EFB"/>
    <w:rsid w:val="00D917C2"/>
    <w:rsid w:val="00D91D07"/>
    <w:rsid w:val="00D91F95"/>
    <w:rsid w:val="00D91FBD"/>
    <w:rsid w:val="00D92DFA"/>
    <w:rsid w:val="00D935BF"/>
    <w:rsid w:val="00D93A9B"/>
    <w:rsid w:val="00D93EF8"/>
    <w:rsid w:val="00D93F77"/>
    <w:rsid w:val="00D947C9"/>
    <w:rsid w:val="00D9482F"/>
    <w:rsid w:val="00D9484D"/>
    <w:rsid w:val="00D95231"/>
    <w:rsid w:val="00D95653"/>
    <w:rsid w:val="00D97226"/>
    <w:rsid w:val="00D97872"/>
    <w:rsid w:val="00D97D77"/>
    <w:rsid w:val="00D97FA2"/>
    <w:rsid w:val="00DA09D0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682"/>
    <w:rsid w:val="00DA4E7B"/>
    <w:rsid w:val="00DA4EB5"/>
    <w:rsid w:val="00DA5062"/>
    <w:rsid w:val="00DA50BD"/>
    <w:rsid w:val="00DA50C2"/>
    <w:rsid w:val="00DA544A"/>
    <w:rsid w:val="00DA5538"/>
    <w:rsid w:val="00DA5820"/>
    <w:rsid w:val="00DA5853"/>
    <w:rsid w:val="00DA67F2"/>
    <w:rsid w:val="00DA74E6"/>
    <w:rsid w:val="00DA7532"/>
    <w:rsid w:val="00DA7A96"/>
    <w:rsid w:val="00DB01AE"/>
    <w:rsid w:val="00DB0224"/>
    <w:rsid w:val="00DB0BB9"/>
    <w:rsid w:val="00DB0FEB"/>
    <w:rsid w:val="00DB1114"/>
    <w:rsid w:val="00DB1864"/>
    <w:rsid w:val="00DB1CF0"/>
    <w:rsid w:val="00DB24A2"/>
    <w:rsid w:val="00DB27D4"/>
    <w:rsid w:val="00DB2E8C"/>
    <w:rsid w:val="00DB39D1"/>
    <w:rsid w:val="00DB3E2F"/>
    <w:rsid w:val="00DB46B8"/>
    <w:rsid w:val="00DB4E78"/>
    <w:rsid w:val="00DB4FB1"/>
    <w:rsid w:val="00DB5314"/>
    <w:rsid w:val="00DB557B"/>
    <w:rsid w:val="00DB5BAE"/>
    <w:rsid w:val="00DB5D82"/>
    <w:rsid w:val="00DB5E63"/>
    <w:rsid w:val="00DB6436"/>
    <w:rsid w:val="00DB6629"/>
    <w:rsid w:val="00DB6B06"/>
    <w:rsid w:val="00DB765A"/>
    <w:rsid w:val="00DB7944"/>
    <w:rsid w:val="00DC0029"/>
    <w:rsid w:val="00DC0076"/>
    <w:rsid w:val="00DC0134"/>
    <w:rsid w:val="00DC0162"/>
    <w:rsid w:val="00DC069A"/>
    <w:rsid w:val="00DC0878"/>
    <w:rsid w:val="00DC0CF4"/>
    <w:rsid w:val="00DC15C8"/>
    <w:rsid w:val="00DC184F"/>
    <w:rsid w:val="00DC1E79"/>
    <w:rsid w:val="00DC1E7E"/>
    <w:rsid w:val="00DC1E97"/>
    <w:rsid w:val="00DC1EB6"/>
    <w:rsid w:val="00DC1F3C"/>
    <w:rsid w:val="00DC1F8D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1F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456"/>
    <w:rsid w:val="00DD2D61"/>
    <w:rsid w:val="00DD2FF8"/>
    <w:rsid w:val="00DD3081"/>
    <w:rsid w:val="00DD3582"/>
    <w:rsid w:val="00DD3FEB"/>
    <w:rsid w:val="00DD40DC"/>
    <w:rsid w:val="00DD4982"/>
    <w:rsid w:val="00DD4F81"/>
    <w:rsid w:val="00DD5225"/>
    <w:rsid w:val="00DD52A4"/>
    <w:rsid w:val="00DD5C41"/>
    <w:rsid w:val="00DD6592"/>
    <w:rsid w:val="00DD6637"/>
    <w:rsid w:val="00DD6644"/>
    <w:rsid w:val="00DD7AA1"/>
    <w:rsid w:val="00DD7E26"/>
    <w:rsid w:val="00DE1148"/>
    <w:rsid w:val="00DE1720"/>
    <w:rsid w:val="00DE2B76"/>
    <w:rsid w:val="00DE2CC7"/>
    <w:rsid w:val="00DE3789"/>
    <w:rsid w:val="00DE3E1D"/>
    <w:rsid w:val="00DE45CB"/>
    <w:rsid w:val="00DE4A6A"/>
    <w:rsid w:val="00DE5271"/>
    <w:rsid w:val="00DE5716"/>
    <w:rsid w:val="00DE6698"/>
    <w:rsid w:val="00DE6807"/>
    <w:rsid w:val="00DE7C3F"/>
    <w:rsid w:val="00DE7DAA"/>
    <w:rsid w:val="00DE7E55"/>
    <w:rsid w:val="00DF0733"/>
    <w:rsid w:val="00DF08E0"/>
    <w:rsid w:val="00DF2464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67FF"/>
    <w:rsid w:val="00DF70B3"/>
    <w:rsid w:val="00DF7126"/>
    <w:rsid w:val="00DF7129"/>
    <w:rsid w:val="00E0042F"/>
    <w:rsid w:val="00E00744"/>
    <w:rsid w:val="00E00AFE"/>
    <w:rsid w:val="00E00E49"/>
    <w:rsid w:val="00E014A1"/>
    <w:rsid w:val="00E01F90"/>
    <w:rsid w:val="00E02069"/>
    <w:rsid w:val="00E020DD"/>
    <w:rsid w:val="00E022FB"/>
    <w:rsid w:val="00E023A0"/>
    <w:rsid w:val="00E02673"/>
    <w:rsid w:val="00E02AA0"/>
    <w:rsid w:val="00E02C8C"/>
    <w:rsid w:val="00E02ECF"/>
    <w:rsid w:val="00E039CB"/>
    <w:rsid w:val="00E03CEA"/>
    <w:rsid w:val="00E03CEF"/>
    <w:rsid w:val="00E03F78"/>
    <w:rsid w:val="00E0403B"/>
    <w:rsid w:val="00E04A07"/>
    <w:rsid w:val="00E04E91"/>
    <w:rsid w:val="00E06988"/>
    <w:rsid w:val="00E107EB"/>
    <w:rsid w:val="00E108C2"/>
    <w:rsid w:val="00E109ED"/>
    <w:rsid w:val="00E11A26"/>
    <w:rsid w:val="00E11ABC"/>
    <w:rsid w:val="00E11FDC"/>
    <w:rsid w:val="00E124B4"/>
    <w:rsid w:val="00E13203"/>
    <w:rsid w:val="00E135F9"/>
    <w:rsid w:val="00E13E74"/>
    <w:rsid w:val="00E13EFD"/>
    <w:rsid w:val="00E13F04"/>
    <w:rsid w:val="00E14E72"/>
    <w:rsid w:val="00E15047"/>
    <w:rsid w:val="00E1537D"/>
    <w:rsid w:val="00E15D18"/>
    <w:rsid w:val="00E163D1"/>
    <w:rsid w:val="00E179BD"/>
    <w:rsid w:val="00E17BE8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0F6"/>
    <w:rsid w:val="00E22149"/>
    <w:rsid w:val="00E22722"/>
    <w:rsid w:val="00E22C8A"/>
    <w:rsid w:val="00E22CF8"/>
    <w:rsid w:val="00E22E98"/>
    <w:rsid w:val="00E2301B"/>
    <w:rsid w:val="00E23C77"/>
    <w:rsid w:val="00E2422F"/>
    <w:rsid w:val="00E24C34"/>
    <w:rsid w:val="00E25313"/>
    <w:rsid w:val="00E255F1"/>
    <w:rsid w:val="00E25DEB"/>
    <w:rsid w:val="00E269EC"/>
    <w:rsid w:val="00E272C0"/>
    <w:rsid w:val="00E27547"/>
    <w:rsid w:val="00E30CE9"/>
    <w:rsid w:val="00E313F4"/>
    <w:rsid w:val="00E31555"/>
    <w:rsid w:val="00E3165A"/>
    <w:rsid w:val="00E33342"/>
    <w:rsid w:val="00E3427F"/>
    <w:rsid w:val="00E3532A"/>
    <w:rsid w:val="00E35418"/>
    <w:rsid w:val="00E35BE6"/>
    <w:rsid w:val="00E36218"/>
    <w:rsid w:val="00E365D9"/>
    <w:rsid w:val="00E36938"/>
    <w:rsid w:val="00E36B00"/>
    <w:rsid w:val="00E36B24"/>
    <w:rsid w:val="00E373F4"/>
    <w:rsid w:val="00E37483"/>
    <w:rsid w:val="00E4067D"/>
    <w:rsid w:val="00E40DCA"/>
    <w:rsid w:val="00E417F1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373"/>
    <w:rsid w:val="00E44B5C"/>
    <w:rsid w:val="00E44FAF"/>
    <w:rsid w:val="00E4555F"/>
    <w:rsid w:val="00E459E8"/>
    <w:rsid w:val="00E45EB8"/>
    <w:rsid w:val="00E45F67"/>
    <w:rsid w:val="00E464A4"/>
    <w:rsid w:val="00E46A0F"/>
    <w:rsid w:val="00E46D0D"/>
    <w:rsid w:val="00E5027C"/>
    <w:rsid w:val="00E50295"/>
    <w:rsid w:val="00E50977"/>
    <w:rsid w:val="00E509CF"/>
    <w:rsid w:val="00E50EE9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E0A"/>
    <w:rsid w:val="00E52FCE"/>
    <w:rsid w:val="00E53057"/>
    <w:rsid w:val="00E540A7"/>
    <w:rsid w:val="00E542E5"/>
    <w:rsid w:val="00E54781"/>
    <w:rsid w:val="00E55478"/>
    <w:rsid w:val="00E557C2"/>
    <w:rsid w:val="00E55959"/>
    <w:rsid w:val="00E5612E"/>
    <w:rsid w:val="00E562F9"/>
    <w:rsid w:val="00E562FE"/>
    <w:rsid w:val="00E5766B"/>
    <w:rsid w:val="00E602D0"/>
    <w:rsid w:val="00E60FD1"/>
    <w:rsid w:val="00E619BD"/>
    <w:rsid w:val="00E61B74"/>
    <w:rsid w:val="00E61F53"/>
    <w:rsid w:val="00E62334"/>
    <w:rsid w:val="00E62455"/>
    <w:rsid w:val="00E62A71"/>
    <w:rsid w:val="00E6308B"/>
    <w:rsid w:val="00E6378C"/>
    <w:rsid w:val="00E63812"/>
    <w:rsid w:val="00E63B7E"/>
    <w:rsid w:val="00E6511A"/>
    <w:rsid w:val="00E6555A"/>
    <w:rsid w:val="00E665DA"/>
    <w:rsid w:val="00E66864"/>
    <w:rsid w:val="00E66D6B"/>
    <w:rsid w:val="00E67CB2"/>
    <w:rsid w:val="00E7019D"/>
    <w:rsid w:val="00E7136E"/>
    <w:rsid w:val="00E71637"/>
    <w:rsid w:val="00E716DB"/>
    <w:rsid w:val="00E71934"/>
    <w:rsid w:val="00E71D1B"/>
    <w:rsid w:val="00E72057"/>
    <w:rsid w:val="00E720A8"/>
    <w:rsid w:val="00E721E1"/>
    <w:rsid w:val="00E722EE"/>
    <w:rsid w:val="00E72B90"/>
    <w:rsid w:val="00E7359B"/>
    <w:rsid w:val="00E736DA"/>
    <w:rsid w:val="00E73AC8"/>
    <w:rsid w:val="00E73E79"/>
    <w:rsid w:val="00E74ABF"/>
    <w:rsid w:val="00E74E3D"/>
    <w:rsid w:val="00E753D4"/>
    <w:rsid w:val="00E75547"/>
    <w:rsid w:val="00E7655C"/>
    <w:rsid w:val="00E767E5"/>
    <w:rsid w:val="00E7696B"/>
    <w:rsid w:val="00E76E09"/>
    <w:rsid w:val="00E77241"/>
    <w:rsid w:val="00E80663"/>
    <w:rsid w:val="00E80AEA"/>
    <w:rsid w:val="00E80E66"/>
    <w:rsid w:val="00E810CB"/>
    <w:rsid w:val="00E81A15"/>
    <w:rsid w:val="00E820CC"/>
    <w:rsid w:val="00E822D4"/>
    <w:rsid w:val="00E8239D"/>
    <w:rsid w:val="00E828CA"/>
    <w:rsid w:val="00E82B8E"/>
    <w:rsid w:val="00E82E62"/>
    <w:rsid w:val="00E83466"/>
    <w:rsid w:val="00E83BAB"/>
    <w:rsid w:val="00E8402A"/>
    <w:rsid w:val="00E84ABB"/>
    <w:rsid w:val="00E856A5"/>
    <w:rsid w:val="00E85FD2"/>
    <w:rsid w:val="00E863C7"/>
    <w:rsid w:val="00E869B0"/>
    <w:rsid w:val="00E86BB4"/>
    <w:rsid w:val="00E86BFB"/>
    <w:rsid w:val="00E878D1"/>
    <w:rsid w:val="00E87BFD"/>
    <w:rsid w:val="00E87D5B"/>
    <w:rsid w:val="00E90065"/>
    <w:rsid w:val="00E908D2"/>
    <w:rsid w:val="00E90947"/>
    <w:rsid w:val="00E91942"/>
    <w:rsid w:val="00E91B7F"/>
    <w:rsid w:val="00E93183"/>
    <w:rsid w:val="00E93749"/>
    <w:rsid w:val="00E93D89"/>
    <w:rsid w:val="00E93F77"/>
    <w:rsid w:val="00E94586"/>
    <w:rsid w:val="00E94657"/>
    <w:rsid w:val="00E9520F"/>
    <w:rsid w:val="00E952BC"/>
    <w:rsid w:val="00E9596E"/>
    <w:rsid w:val="00E95B44"/>
    <w:rsid w:val="00E961BA"/>
    <w:rsid w:val="00E96BD5"/>
    <w:rsid w:val="00E97384"/>
    <w:rsid w:val="00E977EE"/>
    <w:rsid w:val="00E97BDB"/>
    <w:rsid w:val="00E97D92"/>
    <w:rsid w:val="00EA002C"/>
    <w:rsid w:val="00EA0F9A"/>
    <w:rsid w:val="00EA1428"/>
    <w:rsid w:val="00EA19A2"/>
    <w:rsid w:val="00EA1D22"/>
    <w:rsid w:val="00EA2FBF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70D"/>
    <w:rsid w:val="00EA592F"/>
    <w:rsid w:val="00EA5B4A"/>
    <w:rsid w:val="00EA6F00"/>
    <w:rsid w:val="00EA7A6B"/>
    <w:rsid w:val="00EB021F"/>
    <w:rsid w:val="00EB0994"/>
    <w:rsid w:val="00EB0A69"/>
    <w:rsid w:val="00EB0C7B"/>
    <w:rsid w:val="00EB16D9"/>
    <w:rsid w:val="00EB1B84"/>
    <w:rsid w:val="00EB21E4"/>
    <w:rsid w:val="00EB28FD"/>
    <w:rsid w:val="00EB3DCA"/>
    <w:rsid w:val="00EB4A9C"/>
    <w:rsid w:val="00EB4BFE"/>
    <w:rsid w:val="00EB509F"/>
    <w:rsid w:val="00EB50AA"/>
    <w:rsid w:val="00EB5715"/>
    <w:rsid w:val="00EB5867"/>
    <w:rsid w:val="00EB5A8F"/>
    <w:rsid w:val="00EB5AC1"/>
    <w:rsid w:val="00EB5C05"/>
    <w:rsid w:val="00EB668E"/>
    <w:rsid w:val="00EB6693"/>
    <w:rsid w:val="00EB7A8C"/>
    <w:rsid w:val="00EC12F0"/>
    <w:rsid w:val="00EC1C1D"/>
    <w:rsid w:val="00EC1DF8"/>
    <w:rsid w:val="00EC21D0"/>
    <w:rsid w:val="00EC237B"/>
    <w:rsid w:val="00EC2488"/>
    <w:rsid w:val="00EC2931"/>
    <w:rsid w:val="00EC2AC7"/>
    <w:rsid w:val="00EC3212"/>
    <w:rsid w:val="00EC348F"/>
    <w:rsid w:val="00EC3605"/>
    <w:rsid w:val="00EC37D1"/>
    <w:rsid w:val="00EC3B76"/>
    <w:rsid w:val="00EC41C7"/>
    <w:rsid w:val="00EC4536"/>
    <w:rsid w:val="00EC516C"/>
    <w:rsid w:val="00EC5827"/>
    <w:rsid w:val="00EC5936"/>
    <w:rsid w:val="00EC599C"/>
    <w:rsid w:val="00EC5EC0"/>
    <w:rsid w:val="00EC61B9"/>
    <w:rsid w:val="00EC6385"/>
    <w:rsid w:val="00EC64E8"/>
    <w:rsid w:val="00EC70AA"/>
    <w:rsid w:val="00EC7260"/>
    <w:rsid w:val="00EC7C44"/>
    <w:rsid w:val="00EC7E02"/>
    <w:rsid w:val="00ED042C"/>
    <w:rsid w:val="00ED0588"/>
    <w:rsid w:val="00ED0AB9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3FD6"/>
    <w:rsid w:val="00ED423F"/>
    <w:rsid w:val="00ED4A3E"/>
    <w:rsid w:val="00ED4DE8"/>
    <w:rsid w:val="00ED5076"/>
    <w:rsid w:val="00ED57A9"/>
    <w:rsid w:val="00ED588D"/>
    <w:rsid w:val="00ED5E20"/>
    <w:rsid w:val="00ED61EF"/>
    <w:rsid w:val="00ED61F2"/>
    <w:rsid w:val="00ED622D"/>
    <w:rsid w:val="00ED6BFD"/>
    <w:rsid w:val="00ED6D9C"/>
    <w:rsid w:val="00ED72A6"/>
    <w:rsid w:val="00ED7CB0"/>
    <w:rsid w:val="00EE00B8"/>
    <w:rsid w:val="00EE03AB"/>
    <w:rsid w:val="00EE046E"/>
    <w:rsid w:val="00EE10B3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798"/>
    <w:rsid w:val="00EE49A7"/>
    <w:rsid w:val="00EE4AB1"/>
    <w:rsid w:val="00EE4C5F"/>
    <w:rsid w:val="00EE4FDD"/>
    <w:rsid w:val="00EE50A2"/>
    <w:rsid w:val="00EE5179"/>
    <w:rsid w:val="00EE536C"/>
    <w:rsid w:val="00EE5839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178"/>
    <w:rsid w:val="00EF15F1"/>
    <w:rsid w:val="00EF1772"/>
    <w:rsid w:val="00EF2B7E"/>
    <w:rsid w:val="00EF2DEE"/>
    <w:rsid w:val="00EF2F02"/>
    <w:rsid w:val="00EF3145"/>
    <w:rsid w:val="00EF343A"/>
    <w:rsid w:val="00EF3D06"/>
    <w:rsid w:val="00EF3DCF"/>
    <w:rsid w:val="00EF444B"/>
    <w:rsid w:val="00EF4661"/>
    <w:rsid w:val="00EF5323"/>
    <w:rsid w:val="00EF5361"/>
    <w:rsid w:val="00EF539E"/>
    <w:rsid w:val="00EF5867"/>
    <w:rsid w:val="00EF6DC1"/>
    <w:rsid w:val="00EF7826"/>
    <w:rsid w:val="00EF79F5"/>
    <w:rsid w:val="00F00360"/>
    <w:rsid w:val="00F014BB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4B6"/>
    <w:rsid w:val="00F049A5"/>
    <w:rsid w:val="00F04E0F"/>
    <w:rsid w:val="00F051AB"/>
    <w:rsid w:val="00F05521"/>
    <w:rsid w:val="00F0585D"/>
    <w:rsid w:val="00F05B5C"/>
    <w:rsid w:val="00F05FD0"/>
    <w:rsid w:val="00F06274"/>
    <w:rsid w:val="00F069E7"/>
    <w:rsid w:val="00F07020"/>
    <w:rsid w:val="00F0753A"/>
    <w:rsid w:val="00F0768A"/>
    <w:rsid w:val="00F077ED"/>
    <w:rsid w:val="00F07CCE"/>
    <w:rsid w:val="00F07E0B"/>
    <w:rsid w:val="00F104F5"/>
    <w:rsid w:val="00F10B68"/>
    <w:rsid w:val="00F10C25"/>
    <w:rsid w:val="00F11EB3"/>
    <w:rsid w:val="00F120E5"/>
    <w:rsid w:val="00F12C21"/>
    <w:rsid w:val="00F14937"/>
    <w:rsid w:val="00F14BEF"/>
    <w:rsid w:val="00F15C6E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025"/>
    <w:rsid w:val="00F21147"/>
    <w:rsid w:val="00F21186"/>
    <w:rsid w:val="00F211D3"/>
    <w:rsid w:val="00F21533"/>
    <w:rsid w:val="00F2165F"/>
    <w:rsid w:val="00F2171E"/>
    <w:rsid w:val="00F217B7"/>
    <w:rsid w:val="00F218DD"/>
    <w:rsid w:val="00F21C5B"/>
    <w:rsid w:val="00F22046"/>
    <w:rsid w:val="00F2237A"/>
    <w:rsid w:val="00F22414"/>
    <w:rsid w:val="00F2287B"/>
    <w:rsid w:val="00F229CB"/>
    <w:rsid w:val="00F22CAE"/>
    <w:rsid w:val="00F22CB7"/>
    <w:rsid w:val="00F23CCC"/>
    <w:rsid w:val="00F24106"/>
    <w:rsid w:val="00F245CD"/>
    <w:rsid w:val="00F24A14"/>
    <w:rsid w:val="00F24E20"/>
    <w:rsid w:val="00F255BD"/>
    <w:rsid w:val="00F2571E"/>
    <w:rsid w:val="00F259A1"/>
    <w:rsid w:val="00F25B12"/>
    <w:rsid w:val="00F25C0B"/>
    <w:rsid w:val="00F26201"/>
    <w:rsid w:val="00F26497"/>
    <w:rsid w:val="00F26705"/>
    <w:rsid w:val="00F271FA"/>
    <w:rsid w:val="00F27282"/>
    <w:rsid w:val="00F2764F"/>
    <w:rsid w:val="00F27B18"/>
    <w:rsid w:val="00F27C23"/>
    <w:rsid w:val="00F300E7"/>
    <w:rsid w:val="00F3039A"/>
    <w:rsid w:val="00F30916"/>
    <w:rsid w:val="00F3124C"/>
    <w:rsid w:val="00F31870"/>
    <w:rsid w:val="00F31975"/>
    <w:rsid w:val="00F31EA1"/>
    <w:rsid w:val="00F3270E"/>
    <w:rsid w:val="00F33358"/>
    <w:rsid w:val="00F3472B"/>
    <w:rsid w:val="00F34907"/>
    <w:rsid w:val="00F34A8A"/>
    <w:rsid w:val="00F3513C"/>
    <w:rsid w:val="00F3550F"/>
    <w:rsid w:val="00F355B3"/>
    <w:rsid w:val="00F35E77"/>
    <w:rsid w:val="00F36584"/>
    <w:rsid w:val="00F36754"/>
    <w:rsid w:val="00F36C45"/>
    <w:rsid w:val="00F3700E"/>
    <w:rsid w:val="00F374A0"/>
    <w:rsid w:val="00F37B4E"/>
    <w:rsid w:val="00F37B55"/>
    <w:rsid w:val="00F37B57"/>
    <w:rsid w:val="00F40506"/>
    <w:rsid w:val="00F40B36"/>
    <w:rsid w:val="00F4216E"/>
    <w:rsid w:val="00F4227F"/>
    <w:rsid w:val="00F42707"/>
    <w:rsid w:val="00F44706"/>
    <w:rsid w:val="00F44BB1"/>
    <w:rsid w:val="00F44EBD"/>
    <w:rsid w:val="00F458CB"/>
    <w:rsid w:val="00F45B77"/>
    <w:rsid w:val="00F45FD8"/>
    <w:rsid w:val="00F461F0"/>
    <w:rsid w:val="00F463F6"/>
    <w:rsid w:val="00F46F1B"/>
    <w:rsid w:val="00F477D3"/>
    <w:rsid w:val="00F50828"/>
    <w:rsid w:val="00F51556"/>
    <w:rsid w:val="00F51A0E"/>
    <w:rsid w:val="00F51B67"/>
    <w:rsid w:val="00F52500"/>
    <w:rsid w:val="00F52F79"/>
    <w:rsid w:val="00F52FAE"/>
    <w:rsid w:val="00F5341B"/>
    <w:rsid w:val="00F5344F"/>
    <w:rsid w:val="00F53546"/>
    <w:rsid w:val="00F53D17"/>
    <w:rsid w:val="00F53D67"/>
    <w:rsid w:val="00F54979"/>
    <w:rsid w:val="00F54C7F"/>
    <w:rsid w:val="00F5562E"/>
    <w:rsid w:val="00F558CF"/>
    <w:rsid w:val="00F559EE"/>
    <w:rsid w:val="00F563DF"/>
    <w:rsid w:val="00F568E3"/>
    <w:rsid w:val="00F56BEC"/>
    <w:rsid w:val="00F56EC0"/>
    <w:rsid w:val="00F57610"/>
    <w:rsid w:val="00F57639"/>
    <w:rsid w:val="00F57709"/>
    <w:rsid w:val="00F6016A"/>
    <w:rsid w:val="00F60D0C"/>
    <w:rsid w:val="00F60F77"/>
    <w:rsid w:val="00F6184E"/>
    <w:rsid w:val="00F619EA"/>
    <w:rsid w:val="00F61AAD"/>
    <w:rsid w:val="00F6214C"/>
    <w:rsid w:val="00F62A87"/>
    <w:rsid w:val="00F63677"/>
    <w:rsid w:val="00F63878"/>
    <w:rsid w:val="00F638C0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4B1"/>
    <w:rsid w:val="00F6586B"/>
    <w:rsid w:val="00F660AB"/>
    <w:rsid w:val="00F660D1"/>
    <w:rsid w:val="00F66DEB"/>
    <w:rsid w:val="00F67926"/>
    <w:rsid w:val="00F70878"/>
    <w:rsid w:val="00F708BA"/>
    <w:rsid w:val="00F71738"/>
    <w:rsid w:val="00F71FFA"/>
    <w:rsid w:val="00F72792"/>
    <w:rsid w:val="00F73765"/>
    <w:rsid w:val="00F73A02"/>
    <w:rsid w:val="00F73C71"/>
    <w:rsid w:val="00F740A5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3EA8"/>
    <w:rsid w:val="00F84CC9"/>
    <w:rsid w:val="00F86290"/>
    <w:rsid w:val="00F863E5"/>
    <w:rsid w:val="00F8645F"/>
    <w:rsid w:val="00F864FD"/>
    <w:rsid w:val="00F87636"/>
    <w:rsid w:val="00F87D8A"/>
    <w:rsid w:val="00F9025F"/>
    <w:rsid w:val="00F903F6"/>
    <w:rsid w:val="00F90981"/>
    <w:rsid w:val="00F90DCD"/>
    <w:rsid w:val="00F91A73"/>
    <w:rsid w:val="00F91A96"/>
    <w:rsid w:val="00F91BC4"/>
    <w:rsid w:val="00F929CD"/>
    <w:rsid w:val="00F92A4F"/>
    <w:rsid w:val="00F932D8"/>
    <w:rsid w:val="00F93724"/>
    <w:rsid w:val="00F94502"/>
    <w:rsid w:val="00F949B8"/>
    <w:rsid w:val="00F95674"/>
    <w:rsid w:val="00F95BBA"/>
    <w:rsid w:val="00F960DC"/>
    <w:rsid w:val="00F962DA"/>
    <w:rsid w:val="00F9647D"/>
    <w:rsid w:val="00F96559"/>
    <w:rsid w:val="00F96993"/>
    <w:rsid w:val="00F96AE2"/>
    <w:rsid w:val="00F97D54"/>
    <w:rsid w:val="00FA0428"/>
    <w:rsid w:val="00FA0C89"/>
    <w:rsid w:val="00FA12E6"/>
    <w:rsid w:val="00FA17E0"/>
    <w:rsid w:val="00FA1E51"/>
    <w:rsid w:val="00FA24E8"/>
    <w:rsid w:val="00FA2BAC"/>
    <w:rsid w:val="00FA3ADB"/>
    <w:rsid w:val="00FA3FF1"/>
    <w:rsid w:val="00FA403C"/>
    <w:rsid w:val="00FA404E"/>
    <w:rsid w:val="00FA44C5"/>
    <w:rsid w:val="00FA4616"/>
    <w:rsid w:val="00FA49E7"/>
    <w:rsid w:val="00FA5083"/>
    <w:rsid w:val="00FA5BF4"/>
    <w:rsid w:val="00FA5D3A"/>
    <w:rsid w:val="00FA5DA6"/>
    <w:rsid w:val="00FA5E93"/>
    <w:rsid w:val="00FA64F7"/>
    <w:rsid w:val="00FA67B7"/>
    <w:rsid w:val="00FA7198"/>
    <w:rsid w:val="00FA72DC"/>
    <w:rsid w:val="00FA7700"/>
    <w:rsid w:val="00FA7C26"/>
    <w:rsid w:val="00FB0E9C"/>
    <w:rsid w:val="00FB0EFA"/>
    <w:rsid w:val="00FB12E6"/>
    <w:rsid w:val="00FB1651"/>
    <w:rsid w:val="00FB1714"/>
    <w:rsid w:val="00FB1BB1"/>
    <w:rsid w:val="00FB2176"/>
    <w:rsid w:val="00FB2214"/>
    <w:rsid w:val="00FB229E"/>
    <w:rsid w:val="00FB2314"/>
    <w:rsid w:val="00FB2464"/>
    <w:rsid w:val="00FB27A9"/>
    <w:rsid w:val="00FB28AD"/>
    <w:rsid w:val="00FB354B"/>
    <w:rsid w:val="00FB39CF"/>
    <w:rsid w:val="00FB414B"/>
    <w:rsid w:val="00FB4471"/>
    <w:rsid w:val="00FB4714"/>
    <w:rsid w:val="00FB47DB"/>
    <w:rsid w:val="00FB51D2"/>
    <w:rsid w:val="00FB6302"/>
    <w:rsid w:val="00FB6690"/>
    <w:rsid w:val="00FB6F1D"/>
    <w:rsid w:val="00FB709E"/>
    <w:rsid w:val="00FB7513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8A2"/>
    <w:rsid w:val="00FC293B"/>
    <w:rsid w:val="00FC3419"/>
    <w:rsid w:val="00FC37E3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0D7"/>
    <w:rsid w:val="00FC57AC"/>
    <w:rsid w:val="00FC58AA"/>
    <w:rsid w:val="00FC654E"/>
    <w:rsid w:val="00FC6BF6"/>
    <w:rsid w:val="00FC6FE5"/>
    <w:rsid w:val="00FC7157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EC7"/>
    <w:rsid w:val="00FD2FC1"/>
    <w:rsid w:val="00FD3403"/>
    <w:rsid w:val="00FD40F9"/>
    <w:rsid w:val="00FD49A7"/>
    <w:rsid w:val="00FD5651"/>
    <w:rsid w:val="00FD5845"/>
    <w:rsid w:val="00FD5D86"/>
    <w:rsid w:val="00FD5E38"/>
    <w:rsid w:val="00FD5F2C"/>
    <w:rsid w:val="00FD616F"/>
    <w:rsid w:val="00FD6503"/>
    <w:rsid w:val="00FD6535"/>
    <w:rsid w:val="00FD6D28"/>
    <w:rsid w:val="00FD6FDB"/>
    <w:rsid w:val="00FD72F0"/>
    <w:rsid w:val="00FD79C9"/>
    <w:rsid w:val="00FD7C4E"/>
    <w:rsid w:val="00FE1363"/>
    <w:rsid w:val="00FE2126"/>
    <w:rsid w:val="00FE257B"/>
    <w:rsid w:val="00FE282C"/>
    <w:rsid w:val="00FE2861"/>
    <w:rsid w:val="00FE2E4A"/>
    <w:rsid w:val="00FE30CC"/>
    <w:rsid w:val="00FE5922"/>
    <w:rsid w:val="00FE61A4"/>
    <w:rsid w:val="00FE6348"/>
    <w:rsid w:val="00FE65ED"/>
    <w:rsid w:val="00FE6655"/>
    <w:rsid w:val="00FE6777"/>
    <w:rsid w:val="00FE69A6"/>
    <w:rsid w:val="00FE6CD2"/>
    <w:rsid w:val="00FE714B"/>
    <w:rsid w:val="00FE7869"/>
    <w:rsid w:val="00FF00F8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31E"/>
    <w:rsid w:val="00FF36EA"/>
    <w:rsid w:val="00FF371C"/>
    <w:rsid w:val="00FF3C7B"/>
    <w:rsid w:val="00FF3CF9"/>
    <w:rsid w:val="00FF3F33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32791F09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0403D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Vrazn">
    <w:name w:val="Strong"/>
    <w:uiPriority w:val="22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1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lny"/>
    <w:link w:val="footnotedescriptionChar"/>
    <w:hidden/>
    <w:rsid w:val="00BC41CC"/>
    <w:pPr>
      <w:spacing w:line="256" w:lineRule="auto"/>
      <w:ind w:right="60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C41CC"/>
    <w:rPr>
      <w:color w:val="000000"/>
      <w:szCs w:val="22"/>
    </w:rPr>
  </w:style>
  <w:style w:type="character" w:customStyle="1" w:styleId="footnotemark">
    <w:name w:val="footnote mark"/>
    <w:hidden/>
    <w:rsid w:val="00BC41C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C41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2">
    <w:name w:val="Mriežka tabuľky2"/>
    <w:basedOn w:val="Normlnatabuka"/>
    <w:next w:val="Mriekatabuky"/>
    <w:rsid w:val="0014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100721\Desktop\Kvestor\V&#253;ro&#269;n&#225;%20spr&#225;va%20o%20hospod&#225;ren&#237;%20TU\VS%20o%20hospod&#225;ren&#237;_2023\V&#253;ro&#269;n&#225;%20spr&#225;va_grafy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Priemerná mesačná mzda zamestnancov univerzity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'2024'!$B$257</c:f>
              <c:strCache>
                <c:ptCount val="1"/>
                <c:pt idx="0">
                  <c:v>rok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'2024'!$A$258:$A$265</c:f>
              <c:strCache>
                <c:ptCount val="8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a umeleckí zamestnanci</c:v>
                </c:pt>
                <c:pt idx="4">
                  <c:v>Prevádzkoví zamestnnaci okrem ŠDaJ</c:v>
                </c:pt>
                <c:pt idx="5">
                  <c:v>Zamestnanci ŠD</c:v>
                </c:pt>
                <c:pt idx="6">
                  <c:v>Zamestnanci ŠJ</c:v>
                </c:pt>
                <c:pt idx="7">
                  <c:v>Univerzita </c:v>
                </c:pt>
              </c:strCache>
            </c:strRef>
          </c:cat>
          <c:val>
            <c:numRef>
              <c:f>'2024'!$B$258:$B$265</c:f>
              <c:numCache>
                <c:formatCode>General</c:formatCode>
                <c:ptCount val="8"/>
                <c:pt idx="0">
                  <c:v>2199</c:v>
                </c:pt>
                <c:pt idx="1">
                  <c:v>1368</c:v>
                </c:pt>
                <c:pt idx="2">
                  <c:v>1640</c:v>
                </c:pt>
                <c:pt idx="3">
                  <c:v>1950</c:v>
                </c:pt>
                <c:pt idx="4">
                  <c:v>927</c:v>
                </c:pt>
                <c:pt idx="5">
                  <c:v>1228</c:v>
                </c:pt>
                <c:pt idx="6">
                  <c:v>1080</c:v>
                </c:pt>
                <c:pt idx="7">
                  <c:v>1887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D4-4EDC-8A3F-623A3A7AFB18}"/>
            </c:ext>
          </c:extLst>
        </c:ser>
        <c:ser>
          <c:idx val="1"/>
          <c:order val="1"/>
          <c:tx>
            <c:strRef>
              <c:f>'2024'!$C$257</c:f>
              <c:strCache>
                <c:ptCount val="1"/>
                <c:pt idx="0">
                  <c:v>rok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'2024'!$A$258:$A$265</c:f>
              <c:strCache>
                <c:ptCount val="8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a umeleckí zamestnanci</c:v>
                </c:pt>
                <c:pt idx="4">
                  <c:v>Prevádzkoví zamestnnaci okrem ŠDaJ</c:v>
                </c:pt>
                <c:pt idx="5">
                  <c:v>Zamestnanci ŠD</c:v>
                </c:pt>
                <c:pt idx="6">
                  <c:v>Zamestnanci ŠJ</c:v>
                </c:pt>
                <c:pt idx="7">
                  <c:v>Univerzita </c:v>
                </c:pt>
              </c:strCache>
            </c:strRef>
          </c:cat>
          <c:val>
            <c:numRef>
              <c:f>'2024'!$C$258:$C$265</c:f>
              <c:numCache>
                <c:formatCode>General</c:formatCode>
                <c:ptCount val="8"/>
                <c:pt idx="0">
                  <c:v>2392</c:v>
                </c:pt>
                <c:pt idx="1">
                  <c:v>1458</c:v>
                </c:pt>
                <c:pt idx="2">
                  <c:v>1730</c:v>
                </c:pt>
                <c:pt idx="3">
                  <c:v>2030</c:v>
                </c:pt>
                <c:pt idx="4">
                  <c:v>1028</c:v>
                </c:pt>
                <c:pt idx="5">
                  <c:v>1326</c:v>
                </c:pt>
                <c:pt idx="6">
                  <c:v>0</c:v>
                </c:pt>
                <c:pt idx="7">
                  <c:v>2044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D4-4EDC-8A3F-623A3A7AFB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57791295"/>
        <c:axId val="1147700079"/>
      </c:barChart>
      <c:catAx>
        <c:axId val="11577912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147700079"/>
        <c:crosses val="autoZero"/>
        <c:auto val="1"/>
        <c:lblAlgn val="ctr"/>
        <c:lblOffset val="100"/>
        <c:noMultiLvlLbl val="0"/>
      </c:catAx>
      <c:valAx>
        <c:axId val="114770007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57791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B4B5-E28F-4E6E-80F9-027E0441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6328</Words>
  <Characters>39742</Characters>
  <Application>Microsoft Office Word</Application>
  <DocSecurity>0</DocSecurity>
  <Lines>1135</Lines>
  <Paragraphs>555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45515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Domesová Soňa</cp:lastModifiedBy>
  <cp:revision>4</cp:revision>
  <cp:lastPrinted>2025-04-25T07:51:00Z</cp:lastPrinted>
  <dcterms:created xsi:type="dcterms:W3CDTF">2025-05-16T07:47:00Z</dcterms:created>
  <dcterms:modified xsi:type="dcterms:W3CDTF">2025-05-16T07:52:00Z</dcterms:modified>
</cp:coreProperties>
</file>